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7D27E" w14:textId="2B44A1F9" w:rsidR="00C539B0" w:rsidRPr="0007631D" w:rsidRDefault="00C539B0" w:rsidP="00C539B0">
      <w:pPr>
        <w:tabs>
          <w:tab w:val="right" w:pos="10000"/>
        </w:tabs>
        <w:spacing w:after="0"/>
        <w:rPr>
          <w:b/>
          <w:sz w:val="24"/>
          <w:szCs w:val="24"/>
        </w:rPr>
      </w:pPr>
      <w:r w:rsidRPr="0007631D">
        <w:rPr>
          <w:b/>
          <w:sz w:val="24"/>
          <w:szCs w:val="24"/>
        </w:rPr>
        <w:t xml:space="preserve">3GPP TSG-RAN </w:t>
      </w:r>
      <w:r w:rsidR="0011379C" w:rsidRPr="0007631D">
        <w:rPr>
          <w:b/>
          <w:sz w:val="24"/>
          <w:szCs w:val="24"/>
        </w:rPr>
        <w:t>WG1</w:t>
      </w:r>
      <w:r w:rsidR="00433B47" w:rsidRPr="0007631D">
        <w:rPr>
          <w:b/>
          <w:sz w:val="24"/>
          <w:szCs w:val="24"/>
        </w:rPr>
        <w:t xml:space="preserve"> </w:t>
      </w:r>
      <w:r w:rsidR="002A520D">
        <w:rPr>
          <w:b/>
          <w:sz w:val="24"/>
          <w:szCs w:val="24"/>
        </w:rPr>
        <w:t>#96</w:t>
      </w:r>
      <w:r w:rsidRPr="0007631D">
        <w:rPr>
          <w:b/>
          <w:sz w:val="24"/>
          <w:szCs w:val="24"/>
        </w:rPr>
        <w:tab/>
        <w:t>R1-</w:t>
      </w:r>
      <w:r w:rsidR="00AA4A92">
        <w:rPr>
          <w:b/>
          <w:sz w:val="24"/>
          <w:szCs w:val="24"/>
        </w:rPr>
        <w:t>19</w:t>
      </w:r>
      <w:r w:rsidR="00FA73D9">
        <w:rPr>
          <w:b/>
          <w:sz w:val="24"/>
          <w:szCs w:val="24"/>
        </w:rPr>
        <w:t>03027</w:t>
      </w:r>
    </w:p>
    <w:p w14:paraId="4405AC25" w14:textId="211E0AB2" w:rsidR="00433B47" w:rsidRPr="0007631D" w:rsidRDefault="002A520D" w:rsidP="00433B47">
      <w:pPr>
        <w:tabs>
          <w:tab w:val="center" w:pos="4536"/>
          <w:tab w:val="right" w:pos="9072"/>
        </w:tabs>
        <w:spacing w:after="0"/>
        <w:rPr>
          <w:rFonts w:eastAsia="MS Mincho"/>
          <w:b/>
          <w:bCs/>
          <w:sz w:val="24"/>
          <w:szCs w:val="24"/>
          <w:lang w:eastAsia="ja-JP"/>
        </w:rPr>
      </w:pPr>
      <w:r>
        <w:rPr>
          <w:b/>
          <w:bCs/>
          <w:sz w:val="24"/>
          <w:szCs w:val="24"/>
        </w:rPr>
        <w:t>February</w:t>
      </w:r>
      <w:r w:rsidR="003F4789" w:rsidRPr="0007631D">
        <w:rPr>
          <w:b/>
          <w:bCs/>
          <w:sz w:val="24"/>
          <w:szCs w:val="24"/>
        </w:rPr>
        <w:t xml:space="preserve"> </w:t>
      </w:r>
      <w:r>
        <w:rPr>
          <w:b/>
          <w:bCs/>
          <w:sz w:val="24"/>
          <w:szCs w:val="24"/>
        </w:rPr>
        <w:t>25</w:t>
      </w:r>
      <w:r>
        <w:rPr>
          <w:b/>
          <w:bCs/>
          <w:sz w:val="24"/>
          <w:szCs w:val="24"/>
          <w:vertAlign w:val="superscript"/>
        </w:rPr>
        <w:t>th</w:t>
      </w:r>
      <w:r w:rsidR="005925C1">
        <w:rPr>
          <w:b/>
          <w:bCs/>
          <w:sz w:val="24"/>
          <w:szCs w:val="24"/>
        </w:rPr>
        <w:t xml:space="preserve"> – </w:t>
      </w:r>
      <w:r>
        <w:rPr>
          <w:b/>
          <w:bCs/>
          <w:sz w:val="24"/>
          <w:szCs w:val="24"/>
        </w:rPr>
        <w:t>March 1</w:t>
      </w:r>
      <w:r>
        <w:rPr>
          <w:b/>
          <w:bCs/>
          <w:sz w:val="24"/>
          <w:szCs w:val="24"/>
          <w:vertAlign w:val="superscript"/>
        </w:rPr>
        <w:t>st</w:t>
      </w:r>
      <w:r w:rsidR="003F69D2" w:rsidRPr="0007631D">
        <w:rPr>
          <w:b/>
          <w:bCs/>
          <w:sz w:val="24"/>
          <w:szCs w:val="24"/>
        </w:rPr>
        <w:t>,</w:t>
      </w:r>
      <w:r w:rsidR="00433B47" w:rsidRPr="0007631D">
        <w:rPr>
          <w:b/>
          <w:bCs/>
          <w:sz w:val="24"/>
          <w:szCs w:val="24"/>
        </w:rPr>
        <w:t xml:space="preserve"> 201</w:t>
      </w:r>
      <w:r w:rsidR="00B81D1D">
        <w:rPr>
          <w:rFonts w:eastAsia="MS Mincho"/>
          <w:b/>
          <w:bCs/>
          <w:sz w:val="24"/>
          <w:szCs w:val="24"/>
          <w:lang w:eastAsia="ja-JP"/>
        </w:rPr>
        <w:t>9</w:t>
      </w:r>
    </w:p>
    <w:p w14:paraId="28A9D42B" w14:textId="1F42B5FB" w:rsidR="00433B47" w:rsidRPr="0007631D" w:rsidRDefault="002A520D" w:rsidP="00433B47">
      <w:pPr>
        <w:spacing w:after="0"/>
        <w:jc w:val="both"/>
        <w:rPr>
          <w:b/>
          <w:sz w:val="24"/>
          <w:szCs w:val="24"/>
          <w:lang w:eastAsia="zh-CN"/>
        </w:rPr>
      </w:pPr>
      <w:r>
        <w:rPr>
          <w:b/>
          <w:sz w:val="24"/>
          <w:szCs w:val="24"/>
        </w:rPr>
        <w:t>Athens</w:t>
      </w:r>
      <w:r w:rsidR="00B81D1D">
        <w:rPr>
          <w:b/>
          <w:sz w:val="24"/>
          <w:szCs w:val="24"/>
        </w:rPr>
        <w:t xml:space="preserve">, </w:t>
      </w:r>
      <w:r>
        <w:rPr>
          <w:b/>
          <w:sz w:val="24"/>
          <w:szCs w:val="24"/>
        </w:rPr>
        <w:t>Greece</w:t>
      </w:r>
    </w:p>
    <w:p w14:paraId="0FF7EEB0" w14:textId="77777777" w:rsidR="00F15C93" w:rsidRPr="0007631D" w:rsidRDefault="00F15C93" w:rsidP="00F15C93">
      <w:pPr>
        <w:pStyle w:val="Footer"/>
        <w:jc w:val="both"/>
        <w:rPr>
          <w:rFonts w:ascii="Times New Roman" w:hAnsi="Times New Roman"/>
          <w:i w:val="0"/>
          <w:noProof w:val="0"/>
        </w:rPr>
      </w:pPr>
    </w:p>
    <w:p w14:paraId="358C9AA6" w14:textId="21CECE1D"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0" w:name="Source"/>
      <w:bookmarkEnd w:id="0"/>
      <w:r w:rsidR="00A2374F">
        <w:rPr>
          <w:b/>
          <w:sz w:val="24"/>
        </w:rPr>
        <w:t>7.2.</w:t>
      </w:r>
      <w:r w:rsidR="00B81D1D">
        <w:rPr>
          <w:b/>
          <w:sz w:val="24"/>
        </w:rPr>
        <w:t>13.3</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045D2066"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r w:rsidR="00B81D1D">
        <w:rPr>
          <w:sz w:val="24"/>
        </w:rPr>
        <w:t>Enhancements for EN-DC Single-Tx TDM Operation</w:t>
      </w:r>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1" w:name="DocumentFor"/>
      <w:bookmarkEnd w:id="1"/>
      <w:r w:rsidRPr="0007631D">
        <w:rPr>
          <w:sz w:val="24"/>
        </w:rPr>
        <w:t>Discussion/Decision</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13DCBD25" w14:textId="049827D3" w:rsidR="00990557" w:rsidRDefault="00990557" w:rsidP="00990557">
      <w:pPr>
        <w:jc w:val="both"/>
        <w:rPr>
          <w:rFonts w:asciiTheme="majorBidi" w:hAnsiTheme="majorBidi" w:cstheme="majorBidi"/>
          <w:bCs/>
          <w:iCs/>
        </w:rPr>
      </w:pPr>
      <w:r>
        <w:rPr>
          <w:rFonts w:asciiTheme="majorBidi" w:hAnsiTheme="majorBidi" w:cstheme="majorBidi"/>
          <w:bCs/>
          <w:iCs/>
        </w:rPr>
        <w:t>In NR Rel. 15, the following agreement was reached to enable a single-</w:t>
      </w:r>
      <w:proofErr w:type="spellStart"/>
      <w:r>
        <w:rPr>
          <w:rFonts w:asciiTheme="majorBidi" w:hAnsiTheme="majorBidi" w:cstheme="majorBidi"/>
          <w:bCs/>
          <w:iCs/>
        </w:rPr>
        <w:t>tx</w:t>
      </w:r>
      <w:proofErr w:type="spellEnd"/>
      <w:r>
        <w:rPr>
          <w:rFonts w:asciiTheme="majorBidi" w:hAnsiTheme="majorBidi" w:cstheme="majorBidi"/>
          <w:bCs/>
          <w:iCs/>
        </w:rPr>
        <w:t xml:space="preserve"> TDM operation for EUTRA-NR dual connectivity (EN-DC):</w:t>
      </w:r>
    </w:p>
    <w:p w14:paraId="5C3C6BF8" w14:textId="6DE251F6" w:rsidR="0073744C" w:rsidRPr="0073744C" w:rsidRDefault="0073744C" w:rsidP="00990557">
      <w:pPr>
        <w:jc w:val="both"/>
        <w:rPr>
          <w:rFonts w:asciiTheme="majorBidi" w:hAnsiTheme="majorBidi" w:cstheme="majorBidi"/>
          <w:b/>
          <w:bCs/>
          <w:iCs/>
          <w:u w:val="single"/>
        </w:rPr>
      </w:pPr>
      <w:r w:rsidRPr="0073744C">
        <w:rPr>
          <w:rFonts w:asciiTheme="majorBidi" w:hAnsiTheme="majorBidi" w:cstheme="majorBidi"/>
          <w:b/>
          <w:bCs/>
          <w:iCs/>
          <w:highlight w:val="green"/>
          <w:u w:val="single"/>
        </w:rPr>
        <w:t>Agreement:</w:t>
      </w:r>
    </w:p>
    <w:p w14:paraId="59DBB117" w14:textId="77777777" w:rsidR="0073744C" w:rsidRPr="0073744C" w:rsidRDefault="0073744C" w:rsidP="008C6BC6">
      <w:pPr>
        <w:numPr>
          <w:ilvl w:val="0"/>
          <w:numId w:val="4"/>
        </w:numPr>
        <w:spacing w:after="0"/>
        <w:jc w:val="both"/>
        <w:rPr>
          <w:rFonts w:eastAsia="MS Mincho"/>
          <w:i/>
        </w:rPr>
      </w:pPr>
      <w:r w:rsidRPr="0073744C">
        <w:rPr>
          <w:rFonts w:eastAsia="MS Mincho"/>
          <w:i/>
        </w:rPr>
        <w:t xml:space="preserve">For single UL operation in EN-DC with LTE TDD </w:t>
      </w:r>
      <w:proofErr w:type="spellStart"/>
      <w:r w:rsidRPr="0073744C">
        <w:rPr>
          <w:rFonts w:eastAsia="MS Mincho"/>
          <w:i/>
        </w:rPr>
        <w:t>PCell</w:t>
      </w:r>
      <w:proofErr w:type="spellEnd"/>
      <w:r w:rsidRPr="0073744C">
        <w:rPr>
          <w:rFonts w:eastAsia="MS Mincho"/>
          <w:i/>
        </w:rPr>
        <w:t>, where UE operates on only one carrier at a time</w:t>
      </w:r>
    </w:p>
    <w:p w14:paraId="5C25B571" w14:textId="77777777" w:rsidR="0073744C" w:rsidRPr="0073744C" w:rsidRDefault="0073744C" w:rsidP="008C6BC6">
      <w:pPr>
        <w:numPr>
          <w:ilvl w:val="1"/>
          <w:numId w:val="4"/>
        </w:numPr>
        <w:spacing w:after="0"/>
        <w:jc w:val="both"/>
        <w:rPr>
          <w:rFonts w:eastAsia="MS Mincho"/>
          <w:i/>
        </w:rPr>
      </w:pPr>
      <w:r w:rsidRPr="0073744C">
        <w:rPr>
          <w:rFonts w:eastAsia="MS Mincho"/>
          <w:i/>
        </w:rPr>
        <w:t xml:space="preserve">for LTE carrier, UE can be configured with </w:t>
      </w:r>
    </w:p>
    <w:p w14:paraId="2DAE9415" w14:textId="77777777" w:rsidR="0073744C" w:rsidRPr="0073744C" w:rsidRDefault="0073744C" w:rsidP="008C6BC6">
      <w:pPr>
        <w:numPr>
          <w:ilvl w:val="2"/>
          <w:numId w:val="4"/>
        </w:numPr>
        <w:spacing w:after="0"/>
        <w:jc w:val="both"/>
        <w:rPr>
          <w:rFonts w:eastAsia="MS Mincho"/>
          <w:i/>
        </w:rPr>
      </w:pPr>
      <w:r w:rsidRPr="0073744C">
        <w:rPr>
          <w:rFonts w:eastAsia="MS Mincho"/>
          <w:i/>
        </w:rPr>
        <w:t>Case 1: DL-reference UL/DL configuration defined for LTE-FDD-</w:t>
      </w:r>
      <w:proofErr w:type="spellStart"/>
      <w:r w:rsidRPr="0073744C">
        <w:rPr>
          <w:rFonts w:eastAsia="MS Mincho"/>
          <w:i/>
        </w:rPr>
        <w:t>SCell</w:t>
      </w:r>
      <w:proofErr w:type="spellEnd"/>
      <w:r w:rsidRPr="0073744C">
        <w:rPr>
          <w:rFonts w:eastAsia="MS Mincho"/>
          <w:i/>
        </w:rPr>
        <w:t xml:space="preserve"> in LTE-TDD-FDD CA with LTE-TDD-</w:t>
      </w:r>
      <w:proofErr w:type="spellStart"/>
      <w:r w:rsidRPr="0073744C">
        <w:rPr>
          <w:rFonts w:eastAsia="MS Mincho"/>
          <w:i/>
        </w:rPr>
        <w:t>PCell</w:t>
      </w:r>
      <w:proofErr w:type="spellEnd"/>
      <w:r w:rsidRPr="0073744C">
        <w:rPr>
          <w:rFonts w:eastAsia="MS Mincho"/>
          <w:i/>
        </w:rPr>
        <w:t xml:space="preserve"> </w:t>
      </w:r>
    </w:p>
    <w:p w14:paraId="1D73AFEA" w14:textId="77777777" w:rsidR="0073744C" w:rsidRPr="0073744C" w:rsidRDefault="0073744C" w:rsidP="008C6BC6">
      <w:pPr>
        <w:numPr>
          <w:ilvl w:val="3"/>
          <w:numId w:val="4"/>
        </w:numPr>
        <w:spacing w:after="0"/>
        <w:jc w:val="both"/>
        <w:rPr>
          <w:rFonts w:eastAsia="MS Mincho"/>
          <w:i/>
        </w:rPr>
      </w:pPr>
      <w:r w:rsidRPr="0073744C">
        <w:rPr>
          <w:rFonts w:eastAsia="MS Mincho"/>
          <w:i/>
        </w:rPr>
        <w:t>For DL HARQ timing, the DL-reference UL/DL configuration, i.e. “</w:t>
      </w:r>
      <w:r w:rsidRPr="0073744C">
        <w:rPr>
          <w:rFonts w:eastAsia="MS Mincho"/>
          <w:i/>
          <w:iCs/>
        </w:rPr>
        <w:t>subframeAssignment-r15”</w:t>
      </w:r>
      <w:r w:rsidRPr="0073744C">
        <w:rPr>
          <w:rFonts w:eastAsia="MS Mincho"/>
          <w:i/>
        </w:rPr>
        <w:t>, is applied</w:t>
      </w:r>
    </w:p>
    <w:p w14:paraId="7A306604" w14:textId="77777777" w:rsidR="0073744C" w:rsidRPr="0073744C" w:rsidRDefault="0073744C" w:rsidP="008C6BC6">
      <w:pPr>
        <w:numPr>
          <w:ilvl w:val="3"/>
          <w:numId w:val="4"/>
        </w:numPr>
        <w:spacing w:after="0"/>
        <w:jc w:val="both"/>
        <w:rPr>
          <w:rFonts w:eastAsia="MS Mincho"/>
          <w:i/>
        </w:rPr>
      </w:pPr>
      <w:r w:rsidRPr="0073744C">
        <w:rPr>
          <w:rFonts w:eastAsia="MS Mincho"/>
          <w:i/>
        </w:rPr>
        <w:t xml:space="preserve">For UL HARQ timing, the </w:t>
      </w:r>
      <w:proofErr w:type="spellStart"/>
      <w:r w:rsidRPr="0073744C">
        <w:rPr>
          <w:rFonts w:eastAsia="MS Mincho"/>
          <w:i/>
        </w:rPr>
        <w:t>PCell’s</w:t>
      </w:r>
      <w:proofErr w:type="spellEnd"/>
      <w:r w:rsidRPr="0073744C">
        <w:rPr>
          <w:rFonts w:eastAsia="MS Mincho"/>
          <w:i/>
        </w:rPr>
        <w:t xml:space="preserve"> UL/DL configuration, i.e. “</w:t>
      </w:r>
      <w:proofErr w:type="spellStart"/>
      <w:r w:rsidRPr="0073744C">
        <w:rPr>
          <w:rFonts w:eastAsia="MS Mincho"/>
          <w:i/>
          <w:iCs/>
        </w:rPr>
        <w:t>subframeAssignment</w:t>
      </w:r>
      <w:proofErr w:type="spellEnd"/>
      <w:r w:rsidRPr="0073744C">
        <w:rPr>
          <w:rFonts w:eastAsia="MS Mincho"/>
          <w:i/>
          <w:iCs/>
        </w:rPr>
        <w:t>”</w:t>
      </w:r>
      <w:r w:rsidRPr="0073744C">
        <w:rPr>
          <w:rFonts w:eastAsia="MS Mincho"/>
          <w:i/>
        </w:rPr>
        <w:t>, is applied</w:t>
      </w:r>
    </w:p>
    <w:p w14:paraId="2DC6A8A2" w14:textId="77777777" w:rsidR="0073744C" w:rsidRPr="0073744C" w:rsidRDefault="0073744C" w:rsidP="008C6BC6">
      <w:pPr>
        <w:numPr>
          <w:ilvl w:val="3"/>
          <w:numId w:val="4"/>
        </w:numPr>
        <w:spacing w:after="0"/>
        <w:jc w:val="both"/>
        <w:rPr>
          <w:rFonts w:eastAsia="MS Mincho"/>
          <w:i/>
        </w:rPr>
      </w:pPr>
      <w:r w:rsidRPr="0073744C">
        <w:rPr>
          <w:rFonts w:eastAsia="MS Mincho"/>
          <w:i/>
        </w:rPr>
        <w:t xml:space="preserve">For UE capable of dynamic power sharing, LTE UL transmission can be scheduled in all UL subframes and </w:t>
      </w:r>
      <w:proofErr w:type="spellStart"/>
      <w:r w:rsidRPr="0073744C">
        <w:rPr>
          <w:rFonts w:eastAsia="MS Mincho"/>
          <w:i/>
        </w:rPr>
        <w:t>UpPTS</w:t>
      </w:r>
      <w:proofErr w:type="spellEnd"/>
      <w:r w:rsidRPr="0073744C">
        <w:rPr>
          <w:rFonts w:eastAsia="MS Mincho"/>
          <w:i/>
        </w:rPr>
        <w:t xml:space="preserve"> configured by “</w:t>
      </w:r>
      <w:proofErr w:type="spellStart"/>
      <w:r w:rsidRPr="0073744C">
        <w:rPr>
          <w:rFonts w:eastAsia="MS Mincho"/>
          <w:i/>
          <w:iCs/>
        </w:rPr>
        <w:t>subframeAssignment</w:t>
      </w:r>
      <w:proofErr w:type="spellEnd"/>
      <w:r w:rsidRPr="0073744C">
        <w:rPr>
          <w:rFonts w:eastAsia="MS Mincho"/>
          <w:i/>
        </w:rPr>
        <w:t>”</w:t>
      </w:r>
    </w:p>
    <w:p w14:paraId="39400806" w14:textId="77777777" w:rsidR="0073744C" w:rsidRPr="0073744C" w:rsidRDefault="0073744C" w:rsidP="008C6BC6">
      <w:pPr>
        <w:numPr>
          <w:ilvl w:val="3"/>
          <w:numId w:val="4"/>
        </w:numPr>
        <w:spacing w:after="0"/>
        <w:jc w:val="both"/>
        <w:rPr>
          <w:rFonts w:eastAsia="MS Mincho"/>
          <w:i/>
        </w:rPr>
      </w:pPr>
      <w:r w:rsidRPr="0073744C">
        <w:rPr>
          <w:rFonts w:eastAsia="MS Mincho"/>
          <w:i/>
        </w:rPr>
        <w:t>UE is not expected to transmit on the MCG and SCG simultaneously</w:t>
      </w:r>
    </w:p>
    <w:p w14:paraId="6880985B" w14:textId="77777777" w:rsidR="0073744C" w:rsidRPr="0073744C" w:rsidRDefault="0073744C" w:rsidP="008C6BC6">
      <w:pPr>
        <w:numPr>
          <w:ilvl w:val="2"/>
          <w:numId w:val="4"/>
        </w:numPr>
        <w:spacing w:after="0"/>
        <w:jc w:val="both"/>
        <w:rPr>
          <w:rFonts w:eastAsia="MS Mincho"/>
          <w:i/>
        </w:rPr>
      </w:pPr>
      <w:r w:rsidRPr="0073744C">
        <w:rPr>
          <w:rFonts w:eastAsia="MS Mincho"/>
          <w:i/>
        </w:rPr>
        <w:t xml:space="preserve">Case 2: uses Release 15 LTE-TDD HARQ timing </w:t>
      </w:r>
    </w:p>
    <w:p w14:paraId="2861D485" w14:textId="77777777" w:rsidR="0073744C" w:rsidRPr="0073744C" w:rsidRDefault="0073744C" w:rsidP="008C6BC6">
      <w:pPr>
        <w:numPr>
          <w:ilvl w:val="3"/>
          <w:numId w:val="4"/>
        </w:numPr>
        <w:spacing w:after="0"/>
        <w:jc w:val="both"/>
        <w:rPr>
          <w:rFonts w:eastAsia="MS Mincho"/>
          <w:i/>
        </w:rPr>
      </w:pPr>
      <w:r w:rsidRPr="0073744C">
        <w:rPr>
          <w:rFonts w:eastAsia="MS Mincho"/>
          <w:i/>
        </w:rPr>
        <w:t xml:space="preserve">For DL HARQ timing, the </w:t>
      </w:r>
      <w:proofErr w:type="spellStart"/>
      <w:r w:rsidRPr="0073744C">
        <w:rPr>
          <w:rFonts w:eastAsia="MS Mincho"/>
          <w:i/>
        </w:rPr>
        <w:t>PCell’s</w:t>
      </w:r>
      <w:proofErr w:type="spellEnd"/>
      <w:r w:rsidRPr="0073744C">
        <w:rPr>
          <w:rFonts w:eastAsia="MS Mincho"/>
          <w:i/>
        </w:rPr>
        <w:t xml:space="preserve"> UL/DL configuration, i.e. “</w:t>
      </w:r>
      <w:proofErr w:type="spellStart"/>
      <w:r w:rsidRPr="0073744C">
        <w:rPr>
          <w:rFonts w:eastAsia="MS Mincho"/>
          <w:i/>
          <w:iCs/>
        </w:rPr>
        <w:t>subframeAssignment</w:t>
      </w:r>
      <w:proofErr w:type="spellEnd"/>
      <w:r w:rsidRPr="0073744C">
        <w:rPr>
          <w:rFonts w:eastAsia="MS Mincho"/>
          <w:i/>
          <w:iCs/>
        </w:rPr>
        <w:t>”</w:t>
      </w:r>
      <w:r w:rsidRPr="0073744C">
        <w:rPr>
          <w:rFonts w:eastAsia="MS Mincho"/>
          <w:i/>
        </w:rPr>
        <w:t>, is applied</w:t>
      </w:r>
    </w:p>
    <w:p w14:paraId="4C22B6A7" w14:textId="77777777" w:rsidR="0073744C" w:rsidRPr="0073744C" w:rsidRDefault="0073744C" w:rsidP="008C6BC6">
      <w:pPr>
        <w:numPr>
          <w:ilvl w:val="3"/>
          <w:numId w:val="4"/>
        </w:numPr>
        <w:spacing w:after="0"/>
        <w:jc w:val="both"/>
        <w:rPr>
          <w:rFonts w:eastAsia="MS Mincho"/>
          <w:i/>
        </w:rPr>
      </w:pPr>
      <w:r w:rsidRPr="0073744C">
        <w:rPr>
          <w:rFonts w:eastAsia="MS Mincho"/>
          <w:i/>
        </w:rPr>
        <w:t xml:space="preserve">For UL HARQ timing, the </w:t>
      </w:r>
      <w:proofErr w:type="spellStart"/>
      <w:r w:rsidRPr="0073744C">
        <w:rPr>
          <w:rFonts w:eastAsia="MS Mincho"/>
          <w:i/>
        </w:rPr>
        <w:t>PCell’s</w:t>
      </w:r>
      <w:proofErr w:type="spellEnd"/>
      <w:r w:rsidRPr="0073744C">
        <w:rPr>
          <w:rFonts w:eastAsia="MS Mincho"/>
          <w:i/>
        </w:rPr>
        <w:t xml:space="preserve"> UL/DL configuration, i.e. “</w:t>
      </w:r>
      <w:proofErr w:type="spellStart"/>
      <w:r w:rsidRPr="0073744C">
        <w:rPr>
          <w:rFonts w:eastAsia="MS Mincho"/>
          <w:i/>
          <w:iCs/>
        </w:rPr>
        <w:t>subframeAssignment</w:t>
      </w:r>
      <w:proofErr w:type="spellEnd"/>
      <w:r w:rsidRPr="0073744C">
        <w:rPr>
          <w:rFonts w:eastAsia="MS Mincho"/>
          <w:i/>
          <w:iCs/>
        </w:rPr>
        <w:t>”</w:t>
      </w:r>
      <w:r w:rsidRPr="0073744C">
        <w:rPr>
          <w:rFonts w:eastAsia="MS Mincho"/>
          <w:i/>
        </w:rPr>
        <w:t>, is applied</w:t>
      </w:r>
    </w:p>
    <w:p w14:paraId="51D03541" w14:textId="488245B1" w:rsidR="00F15B34" w:rsidRDefault="00990557" w:rsidP="00990557">
      <w:pPr>
        <w:jc w:val="both"/>
        <w:rPr>
          <w:rFonts w:asciiTheme="majorBidi" w:hAnsiTheme="majorBidi" w:cstheme="majorBidi"/>
          <w:bCs/>
          <w:iCs/>
        </w:rPr>
      </w:pPr>
      <w:r>
        <w:rPr>
          <w:rFonts w:asciiTheme="majorBidi" w:hAnsiTheme="majorBidi" w:cstheme="majorBidi"/>
          <w:bCs/>
          <w:iCs/>
        </w:rPr>
        <w:t xml:space="preserve"> </w:t>
      </w:r>
    </w:p>
    <w:p w14:paraId="413AD976" w14:textId="5DE082C6" w:rsidR="00320795" w:rsidRDefault="0073744C" w:rsidP="00990557">
      <w:pPr>
        <w:jc w:val="both"/>
        <w:rPr>
          <w:rFonts w:asciiTheme="majorBidi" w:hAnsiTheme="majorBidi" w:cstheme="majorBidi"/>
          <w:bCs/>
          <w:iCs/>
        </w:rPr>
      </w:pPr>
      <w:r>
        <w:rPr>
          <w:rFonts w:asciiTheme="majorBidi" w:hAnsiTheme="majorBidi" w:cstheme="majorBidi"/>
          <w:bCs/>
          <w:iCs/>
        </w:rPr>
        <w:t xml:space="preserve">Under the Case 1 solution, the UE is configured with a TDM-pattern, which restricts the LTE uplink transmission to only a sub-set of available </w:t>
      </w:r>
      <w:proofErr w:type="gramStart"/>
      <w:r>
        <w:rPr>
          <w:rFonts w:asciiTheme="majorBidi" w:hAnsiTheme="majorBidi" w:cstheme="majorBidi"/>
          <w:bCs/>
          <w:iCs/>
        </w:rPr>
        <w:t>uplink</w:t>
      </w:r>
      <w:proofErr w:type="gramEnd"/>
      <w:r>
        <w:rPr>
          <w:rFonts w:asciiTheme="majorBidi" w:hAnsiTheme="majorBidi" w:cstheme="majorBidi"/>
          <w:bCs/>
          <w:iCs/>
        </w:rPr>
        <w:t xml:space="preserve"> subframes. </w:t>
      </w:r>
      <w:proofErr w:type="gramStart"/>
      <w:r w:rsidR="00894555">
        <w:rPr>
          <w:rFonts w:asciiTheme="majorBidi" w:hAnsiTheme="majorBidi" w:cstheme="majorBidi"/>
          <w:bCs/>
          <w:iCs/>
        </w:rPr>
        <w:t>In particular, not</w:t>
      </w:r>
      <w:proofErr w:type="gramEnd"/>
      <w:r w:rsidR="00894555">
        <w:rPr>
          <w:rFonts w:asciiTheme="majorBidi" w:hAnsiTheme="majorBidi" w:cstheme="majorBidi"/>
          <w:bCs/>
          <w:iCs/>
        </w:rPr>
        <w:t xml:space="preserve"> only the DL HARQ-ACK reporting is restricted</w:t>
      </w:r>
      <w:r w:rsidR="00592D26">
        <w:rPr>
          <w:rFonts w:asciiTheme="majorBidi" w:hAnsiTheme="majorBidi" w:cstheme="majorBidi"/>
          <w:bCs/>
          <w:iCs/>
        </w:rPr>
        <w:t>, the LTE uplink data transmission is also constrained to a subset of uplink subframes. This, especially for TDD UL/DL configurations with a small number of uplink subframes, e.g., configuration #2, incurs a large uplink link budget loss. This is the key issue that needs to be tackled in Rel. 16.</w:t>
      </w:r>
    </w:p>
    <w:p w14:paraId="000E8EF1" w14:textId="40BD4FB5" w:rsidR="00A94F1E" w:rsidRPr="00A94F1E" w:rsidRDefault="00A94F1E" w:rsidP="00A94F1E">
      <w:pPr>
        <w:jc w:val="both"/>
        <w:rPr>
          <w:rFonts w:asciiTheme="majorBidi" w:hAnsiTheme="majorBidi" w:cstheme="majorBidi"/>
          <w:bCs/>
          <w:iCs/>
        </w:rPr>
      </w:pPr>
      <w:r>
        <w:rPr>
          <w:rFonts w:asciiTheme="majorBidi" w:hAnsiTheme="majorBidi" w:cstheme="majorBidi"/>
          <w:bCs/>
          <w:iCs/>
        </w:rPr>
        <w:t xml:space="preserve">Another issue that was raised during the Rel. 15 </w:t>
      </w:r>
      <w:proofErr w:type="spellStart"/>
      <w:r>
        <w:rPr>
          <w:rFonts w:asciiTheme="majorBidi" w:hAnsiTheme="majorBidi" w:cstheme="majorBidi"/>
          <w:bCs/>
          <w:iCs/>
        </w:rPr>
        <w:t>disucssions</w:t>
      </w:r>
      <w:proofErr w:type="spellEnd"/>
      <w:r>
        <w:rPr>
          <w:rFonts w:asciiTheme="majorBidi" w:hAnsiTheme="majorBidi" w:cstheme="majorBidi"/>
          <w:bCs/>
          <w:iCs/>
        </w:rPr>
        <w:t xml:space="preserve"> was about the applicability of the case-1 solution to EN-DC with LTE-TDD </w:t>
      </w:r>
      <w:proofErr w:type="spellStart"/>
      <w:r>
        <w:rPr>
          <w:rFonts w:asciiTheme="majorBidi" w:hAnsiTheme="majorBidi" w:cstheme="majorBidi"/>
          <w:bCs/>
          <w:iCs/>
        </w:rPr>
        <w:t>Pcell</w:t>
      </w:r>
      <w:proofErr w:type="spellEnd"/>
      <w:r>
        <w:rPr>
          <w:rFonts w:asciiTheme="majorBidi" w:hAnsiTheme="majorBidi" w:cstheme="majorBidi"/>
          <w:bCs/>
          <w:iCs/>
        </w:rPr>
        <w:t xml:space="preserve">. </w:t>
      </w:r>
      <w:proofErr w:type="gramStart"/>
      <w:r>
        <w:rPr>
          <w:rFonts w:asciiTheme="majorBidi" w:hAnsiTheme="majorBidi" w:cstheme="majorBidi"/>
          <w:bCs/>
          <w:iCs/>
        </w:rPr>
        <w:t>In particular, if</w:t>
      </w:r>
      <w:proofErr w:type="gramEnd"/>
      <w:r>
        <w:rPr>
          <w:rFonts w:asciiTheme="majorBidi" w:hAnsiTheme="majorBidi" w:cstheme="majorBidi"/>
          <w:bCs/>
          <w:iCs/>
        </w:rPr>
        <w:t xml:space="preserve"> some uplink subframes are unavailable for LTE PUCCH, some LTE DL subframes cannot carry LTE data. Following up this discussion, </w:t>
      </w:r>
      <w:r>
        <w:t>in RAN1 #93, the following conclusion was reached:</w:t>
      </w:r>
    </w:p>
    <w:p w14:paraId="498E56D7" w14:textId="77777777" w:rsidR="00A94F1E" w:rsidRPr="00D07EA5" w:rsidRDefault="00A94F1E" w:rsidP="00A94F1E">
      <w:pPr>
        <w:spacing w:after="0"/>
        <w:jc w:val="both"/>
        <w:rPr>
          <w:b/>
          <w:u w:val="single"/>
        </w:rPr>
      </w:pPr>
      <w:r w:rsidRPr="00D07EA5">
        <w:rPr>
          <w:b/>
          <w:highlight w:val="lightGray"/>
          <w:u w:val="single"/>
        </w:rPr>
        <w:t>Conclusion:</w:t>
      </w:r>
    </w:p>
    <w:p w14:paraId="74A66526" w14:textId="77777777" w:rsidR="00A94F1E" w:rsidRPr="00D07EA5" w:rsidRDefault="00A94F1E" w:rsidP="008C6BC6">
      <w:pPr>
        <w:pStyle w:val="ListParagraph"/>
        <w:numPr>
          <w:ilvl w:val="0"/>
          <w:numId w:val="6"/>
        </w:numPr>
        <w:jc w:val="both"/>
        <w:rPr>
          <w:rFonts w:ascii="Times New Roman" w:hAnsi="Times New Roman"/>
          <w:i/>
          <w:sz w:val="20"/>
          <w:szCs w:val="20"/>
        </w:rPr>
      </w:pPr>
      <w:r w:rsidRPr="00D07EA5">
        <w:rPr>
          <w:rFonts w:ascii="Times New Roman" w:hAnsi="Times New Roman"/>
          <w:i/>
          <w:sz w:val="20"/>
          <w:szCs w:val="20"/>
        </w:rPr>
        <w:t xml:space="preserve">When the UE is configured with multiple UL carriers on different frequencies, but the UE operates only on one of the UL carriers at a given time among a pair of LTE and NR carriers, LTE operation with an LTE TDD </w:t>
      </w:r>
      <w:proofErr w:type="spellStart"/>
      <w:r w:rsidRPr="00D07EA5">
        <w:rPr>
          <w:rFonts w:ascii="Times New Roman" w:hAnsi="Times New Roman"/>
          <w:i/>
          <w:sz w:val="20"/>
          <w:szCs w:val="20"/>
        </w:rPr>
        <w:t>PCell</w:t>
      </w:r>
      <w:proofErr w:type="spellEnd"/>
      <w:r w:rsidRPr="00D07EA5">
        <w:rPr>
          <w:rFonts w:ascii="Times New Roman" w:hAnsi="Times New Roman"/>
          <w:i/>
          <w:sz w:val="20"/>
          <w:szCs w:val="20"/>
        </w:rPr>
        <w:t xml:space="preserve"> using the same HARQ timing as LTE operation without EN-DC is supported by the current RAN1 specifications at least when no LTE UL CA is used at least for the following cases:</w:t>
      </w:r>
    </w:p>
    <w:p w14:paraId="2E8351A0" w14:textId="77777777" w:rsidR="00A94F1E" w:rsidRPr="00D07EA5" w:rsidRDefault="00A94F1E" w:rsidP="008C6BC6">
      <w:pPr>
        <w:pStyle w:val="ListParagraph"/>
        <w:numPr>
          <w:ilvl w:val="1"/>
          <w:numId w:val="6"/>
        </w:numPr>
        <w:overflowPunct w:val="0"/>
        <w:autoSpaceDE w:val="0"/>
        <w:autoSpaceDN w:val="0"/>
        <w:adjustRightInd w:val="0"/>
        <w:contextualSpacing/>
        <w:jc w:val="both"/>
        <w:textAlignment w:val="baseline"/>
        <w:rPr>
          <w:rFonts w:ascii="Times New Roman" w:hAnsi="Times New Roman"/>
          <w:i/>
          <w:sz w:val="20"/>
          <w:szCs w:val="20"/>
        </w:rPr>
      </w:pPr>
      <w:r w:rsidRPr="00D07EA5">
        <w:rPr>
          <w:rFonts w:ascii="Times New Roman" w:hAnsi="Times New Roman"/>
          <w:i/>
          <w:sz w:val="20"/>
          <w:szCs w:val="20"/>
        </w:rPr>
        <w:t>The UE supports dynamic power sharing</w:t>
      </w:r>
    </w:p>
    <w:p w14:paraId="7EDF3379" w14:textId="77777777" w:rsidR="00A94F1E" w:rsidRPr="00D07EA5" w:rsidRDefault="00A94F1E" w:rsidP="008C6BC6">
      <w:pPr>
        <w:pStyle w:val="ListParagraph"/>
        <w:numPr>
          <w:ilvl w:val="1"/>
          <w:numId w:val="6"/>
        </w:numPr>
        <w:overflowPunct w:val="0"/>
        <w:autoSpaceDE w:val="0"/>
        <w:autoSpaceDN w:val="0"/>
        <w:adjustRightInd w:val="0"/>
        <w:contextualSpacing/>
        <w:jc w:val="both"/>
        <w:textAlignment w:val="baseline"/>
        <w:rPr>
          <w:rFonts w:ascii="Times New Roman" w:hAnsi="Times New Roman"/>
          <w:i/>
          <w:sz w:val="20"/>
          <w:szCs w:val="20"/>
        </w:rPr>
      </w:pPr>
      <w:r w:rsidRPr="00D07EA5">
        <w:rPr>
          <w:rFonts w:ascii="Times New Roman" w:hAnsi="Times New Roman"/>
          <w:i/>
          <w:sz w:val="20"/>
          <w:szCs w:val="20"/>
        </w:rPr>
        <w:t xml:space="preserve">The UE is configured with P_LTE + P_NR not greater than </w:t>
      </w:r>
      <w:proofErr w:type="spellStart"/>
      <w:r w:rsidRPr="00D07EA5">
        <w:rPr>
          <w:rFonts w:ascii="Times New Roman" w:hAnsi="Times New Roman"/>
          <w:i/>
          <w:sz w:val="20"/>
          <w:szCs w:val="20"/>
        </w:rPr>
        <w:t>P_cmax</w:t>
      </w:r>
      <w:proofErr w:type="spellEnd"/>
    </w:p>
    <w:p w14:paraId="09E1C3A5" w14:textId="77777777" w:rsidR="00A94F1E" w:rsidRDefault="00A94F1E" w:rsidP="00990557">
      <w:pPr>
        <w:jc w:val="both"/>
        <w:rPr>
          <w:rFonts w:asciiTheme="majorBidi" w:hAnsiTheme="majorBidi" w:cstheme="majorBidi"/>
          <w:bCs/>
          <w:iCs/>
        </w:rPr>
      </w:pPr>
    </w:p>
    <w:p w14:paraId="771EECCC" w14:textId="786F332F" w:rsidR="00BC46EE" w:rsidRDefault="00BC46EE" w:rsidP="00990557">
      <w:pPr>
        <w:jc w:val="both"/>
        <w:rPr>
          <w:rFonts w:asciiTheme="majorBidi" w:hAnsiTheme="majorBidi" w:cstheme="majorBidi"/>
          <w:bCs/>
          <w:iCs/>
        </w:rPr>
      </w:pPr>
    </w:p>
    <w:p w14:paraId="5D0B93A0" w14:textId="4A33541D" w:rsidR="00BC46EE" w:rsidRPr="00FA73D9" w:rsidRDefault="00BC46EE" w:rsidP="00990557">
      <w:pPr>
        <w:jc w:val="both"/>
        <w:rPr>
          <w:rFonts w:asciiTheme="majorBidi" w:hAnsiTheme="majorBidi" w:cstheme="majorBidi"/>
          <w:bCs/>
          <w:iCs/>
        </w:rPr>
      </w:pPr>
      <w:r w:rsidRPr="00FA73D9">
        <w:rPr>
          <w:rFonts w:asciiTheme="majorBidi" w:hAnsiTheme="majorBidi" w:cstheme="majorBidi"/>
          <w:bCs/>
          <w:iCs/>
        </w:rPr>
        <w:lastRenderedPageBreak/>
        <w:t>The need for introducing additional enhancements for single-TX operation of EN-DC, including addressing the LTE uplink link budget issue and DL HARQ related issues, was discussed during the RAN1 AH1901, and the following agreement was reached:</w:t>
      </w:r>
    </w:p>
    <w:p w14:paraId="53EBB1F5" w14:textId="77777777" w:rsidR="00BC46EE" w:rsidRPr="00FA73D9" w:rsidRDefault="00BC46EE" w:rsidP="00BC46EE">
      <w:pPr>
        <w:rPr>
          <w:b/>
          <w:u w:val="single"/>
        </w:rPr>
      </w:pPr>
      <w:r w:rsidRPr="00FA73D9">
        <w:rPr>
          <w:b/>
          <w:u w:val="single"/>
        </w:rPr>
        <w:t>Agreements:</w:t>
      </w:r>
    </w:p>
    <w:p w14:paraId="1416DAB3" w14:textId="77777777" w:rsidR="00BC46EE" w:rsidRPr="00FA73D9" w:rsidRDefault="00BC46EE" w:rsidP="008C6BC6">
      <w:pPr>
        <w:numPr>
          <w:ilvl w:val="0"/>
          <w:numId w:val="8"/>
        </w:numPr>
        <w:overflowPunct/>
        <w:autoSpaceDE/>
        <w:autoSpaceDN/>
        <w:adjustRightInd/>
        <w:spacing w:after="0"/>
        <w:textAlignment w:val="auto"/>
        <w:rPr>
          <w:i/>
        </w:rPr>
      </w:pPr>
      <w:r w:rsidRPr="00FA73D9">
        <w:rPr>
          <w:i/>
        </w:rPr>
        <w:t xml:space="preserve">It is concluded that it is beneficial to specify enhancements to single Tx switched uplink solution for EN-DC over the existing single Tx switched uplink solution, e.g. via introducing a new reference HARQ configuration using NR/LTE Rel-15 or LTE </w:t>
      </w:r>
      <w:proofErr w:type="spellStart"/>
      <w:r w:rsidRPr="00FA73D9">
        <w:rPr>
          <w:i/>
        </w:rPr>
        <w:t>eIMTA</w:t>
      </w:r>
      <w:proofErr w:type="spellEnd"/>
      <w:r w:rsidRPr="00FA73D9">
        <w:rPr>
          <w:i/>
        </w:rPr>
        <w:t xml:space="preserve"> solution, etc.</w:t>
      </w:r>
    </w:p>
    <w:p w14:paraId="0ADDFE8C" w14:textId="77777777" w:rsidR="00BC46EE" w:rsidRPr="00FA73D9" w:rsidRDefault="00BC46EE" w:rsidP="00990557">
      <w:pPr>
        <w:jc w:val="both"/>
        <w:rPr>
          <w:rFonts w:asciiTheme="majorBidi" w:hAnsiTheme="majorBidi" w:cstheme="majorBidi"/>
          <w:bCs/>
          <w:iCs/>
        </w:rPr>
      </w:pPr>
    </w:p>
    <w:p w14:paraId="71E31120" w14:textId="3D0598E3" w:rsidR="00A94F1E" w:rsidRPr="00FA73D9" w:rsidRDefault="00BC46EE" w:rsidP="00990557">
      <w:pPr>
        <w:jc w:val="both"/>
        <w:rPr>
          <w:rFonts w:asciiTheme="majorBidi" w:hAnsiTheme="majorBidi" w:cstheme="majorBidi"/>
          <w:bCs/>
          <w:iCs/>
        </w:rPr>
      </w:pPr>
      <w:r w:rsidRPr="00FA73D9">
        <w:rPr>
          <w:rFonts w:asciiTheme="majorBidi" w:hAnsiTheme="majorBidi" w:cstheme="majorBidi"/>
          <w:bCs/>
          <w:iCs/>
        </w:rPr>
        <w:t>Another</w:t>
      </w:r>
      <w:r w:rsidR="00A94F1E" w:rsidRPr="00FA73D9">
        <w:rPr>
          <w:rFonts w:asciiTheme="majorBidi" w:hAnsiTheme="majorBidi" w:cstheme="majorBidi"/>
          <w:bCs/>
          <w:iCs/>
        </w:rPr>
        <w:t xml:space="preserve"> possible avenue for enhancement could be to enable LTE CA with TDD serving cells of different DL/UL configurations.</w:t>
      </w:r>
      <w:r w:rsidR="00EA1901" w:rsidRPr="00FA73D9">
        <w:rPr>
          <w:rFonts w:asciiTheme="majorBidi" w:hAnsiTheme="majorBidi" w:cstheme="majorBidi"/>
          <w:bCs/>
          <w:iCs/>
        </w:rPr>
        <w:t xml:space="preserve"> </w:t>
      </w:r>
    </w:p>
    <w:p w14:paraId="4F9822AF" w14:textId="6C86A9F0" w:rsidR="002879AD" w:rsidRPr="00FA73D9" w:rsidRDefault="00DB3D84" w:rsidP="007D3C9F">
      <w:pPr>
        <w:jc w:val="both"/>
        <w:rPr>
          <w:rFonts w:asciiTheme="majorBidi" w:hAnsiTheme="majorBidi" w:cstheme="majorBidi"/>
          <w:bCs/>
          <w:iCs/>
        </w:rPr>
      </w:pPr>
      <w:r w:rsidRPr="00FA73D9">
        <w:rPr>
          <w:rFonts w:asciiTheme="majorBidi" w:hAnsiTheme="majorBidi" w:cstheme="majorBidi"/>
          <w:bCs/>
          <w:iCs/>
        </w:rPr>
        <w:t>Based on the above discussion</w:t>
      </w:r>
      <w:r w:rsidR="002879AD" w:rsidRPr="00FA73D9">
        <w:rPr>
          <w:rFonts w:asciiTheme="majorBidi" w:hAnsiTheme="majorBidi" w:cstheme="majorBidi"/>
          <w:bCs/>
          <w:iCs/>
        </w:rPr>
        <w:t xml:space="preserve">, </w:t>
      </w:r>
      <w:r w:rsidR="00EA1901" w:rsidRPr="00FA73D9">
        <w:rPr>
          <w:rFonts w:asciiTheme="majorBidi" w:hAnsiTheme="majorBidi" w:cstheme="majorBidi"/>
          <w:bCs/>
          <w:iCs/>
        </w:rPr>
        <w:t xml:space="preserve">the subsequent sections of this paper </w:t>
      </w:r>
      <w:proofErr w:type="gramStart"/>
      <w:r w:rsidR="00EA1901" w:rsidRPr="00FA73D9">
        <w:rPr>
          <w:rFonts w:asciiTheme="majorBidi" w:hAnsiTheme="majorBidi" w:cstheme="majorBidi"/>
          <w:bCs/>
          <w:iCs/>
        </w:rPr>
        <w:t>proposes</w:t>
      </w:r>
      <w:proofErr w:type="gramEnd"/>
      <w:r w:rsidR="00EA1901" w:rsidRPr="00FA73D9">
        <w:rPr>
          <w:rFonts w:asciiTheme="majorBidi" w:hAnsiTheme="majorBidi" w:cstheme="majorBidi"/>
          <w:bCs/>
          <w:iCs/>
        </w:rPr>
        <w:t xml:space="preserve"> solutions for the following issues:</w:t>
      </w:r>
    </w:p>
    <w:p w14:paraId="28D352FA" w14:textId="62653FD3" w:rsidR="00EA1901" w:rsidRPr="00FA73D9" w:rsidRDefault="00D07EA5" w:rsidP="008C6BC6">
      <w:pPr>
        <w:pStyle w:val="ListParagraph"/>
        <w:numPr>
          <w:ilvl w:val="0"/>
          <w:numId w:val="5"/>
        </w:numPr>
        <w:jc w:val="both"/>
        <w:rPr>
          <w:rFonts w:asciiTheme="majorBidi" w:hAnsiTheme="majorBidi" w:cstheme="majorBidi"/>
          <w:bCs/>
          <w:iCs/>
          <w:sz w:val="20"/>
        </w:rPr>
      </w:pPr>
      <w:r w:rsidRPr="00FA73D9">
        <w:rPr>
          <w:rFonts w:asciiTheme="majorBidi" w:hAnsiTheme="majorBidi" w:cstheme="majorBidi"/>
          <w:bCs/>
          <w:iCs/>
          <w:sz w:val="20"/>
        </w:rPr>
        <w:t xml:space="preserve">Issue </w:t>
      </w:r>
      <w:r w:rsidR="00DB3D84" w:rsidRPr="00FA73D9">
        <w:rPr>
          <w:rFonts w:asciiTheme="majorBidi" w:hAnsiTheme="majorBidi" w:cstheme="majorBidi"/>
          <w:bCs/>
          <w:iCs/>
          <w:sz w:val="20"/>
        </w:rPr>
        <w:t xml:space="preserve">1: </w:t>
      </w:r>
      <w:r w:rsidR="00EA1901" w:rsidRPr="00FA73D9">
        <w:rPr>
          <w:rFonts w:asciiTheme="majorBidi" w:hAnsiTheme="majorBidi" w:cstheme="majorBidi"/>
          <w:bCs/>
          <w:iCs/>
          <w:sz w:val="20"/>
        </w:rPr>
        <w:t>Not all the LTE uplink subframes can be used for PUSCH transmission under the Case-1 solution; hence, the LTE uplink link budget is constrained.</w:t>
      </w:r>
    </w:p>
    <w:p w14:paraId="2E6BDB49" w14:textId="595A58E6" w:rsidR="000E5848" w:rsidRPr="00FA73D9" w:rsidRDefault="00EA1901" w:rsidP="008C6BC6">
      <w:pPr>
        <w:pStyle w:val="ListParagraph"/>
        <w:numPr>
          <w:ilvl w:val="0"/>
          <w:numId w:val="5"/>
        </w:numPr>
        <w:jc w:val="both"/>
        <w:rPr>
          <w:rFonts w:asciiTheme="majorBidi" w:hAnsiTheme="majorBidi" w:cstheme="majorBidi"/>
          <w:bCs/>
          <w:iCs/>
          <w:sz w:val="20"/>
        </w:rPr>
      </w:pPr>
      <w:r w:rsidRPr="00FA73D9">
        <w:rPr>
          <w:rFonts w:asciiTheme="majorBidi" w:hAnsiTheme="majorBidi" w:cstheme="majorBidi"/>
          <w:bCs/>
          <w:iCs/>
          <w:sz w:val="20"/>
        </w:rPr>
        <w:t xml:space="preserve">Issue 2: </w:t>
      </w:r>
      <w:r w:rsidR="00DB3D84" w:rsidRPr="00FA73D9">
        <w:rPr>
          <w:rFonts w:asciiTheme="majorBidi" w:hAnsiTheme="majorBidi" w:cstheme="majorBidi"/>
          <w:bCs/>
          <w:iCs/>
          <w:sz w:val="20"/>
        </w:rPr>
        <w:t>For the case of LTE with TDD-</w:t>
      </w:r>
      <w:proofErr w:type="spellStart"/>
      <w:r w:rsidR="00DB3D84" w:rsidRPr="00FA73D9">
        <w:rPr>
          <w:rFonts w:asciiTheme="majorBidi" w:hAnsiTheme="majorBidi" w:cstheme="majorBidi"/>
          <w:bCs/>
          <w:iCs/>
          <w:sz w:val="20"/>
        </w:rPr>
        <w:t>Pcell</w:t>
      </w:r>
      <w:proofErr w:type="spellEnd"/>
      <w:r w:rsidR="00DB3D84" w:rsidRPr="00FA73D9">
        <w:rPr>
          <w:rFonts w:asciiTheme="majorBidi" w:hAnsiTheme="majorBidi" w:cstheme="majorBidi"/>
          <w:bCs/>
          <w:iCs/>
          <w:sz w:val="20"/>
        </w:rPr>
        <w:t>, some LTE downlink subframes cannot be scheduled, thereby degrading the LTE downlink throughput.</w:t>
      </w:r>
    </w:p>
    <w:p w14:paraId="51E1418D" w14:textId="40CFF153" w:rsidR="00DB3D84" w:rsidRPr="00FA73D9" w:rsidRDefault="00EA1901" w:rsidP="008C6BC6">
      <w:pPr>
        <w:pStyle w:val="ListParagraph"/>
        <w:numPr>
          <w:ilvl w:val="0"/>
          <w:numId w:val="5"/>
        </w:numPr>
        <w:jc w:val="both"/>
        <w:rPr>
          <w:rFonts w:asciiTheme="majorBidi" w:hAnsiTheme="majorBidi" w:cstheme="majorBidi"/>
          <w:bCs/>
          <w:iCs/>
          <w:sz w:val="20"/>
        </w:rPr>
      </w:pPr>
      <w:r w:rsidRPr="00FA73D9">
        <w:rPr>
          <w:rFonts w:asciiTheme="majorBidi" w:hAnsiTheme="majorBidi" w:cstheme="majorBidi"/>
          <w:bCs/>
          <w:iCs/>
          <w:sz w:val="20"/>
        </w:rPr>
        <w:t>Issue 3</w:t>
      </w:r>
      <w:r w:rsidR="00DB3D84" w:rsidRPr="00FA73D9">
        <w:rPr>
          <w:rFonts w:asciiTheme="majorBidi" w:hAnsiTheme="majorBidi" w:cstheme="majorBidi"/>
          <w:bCs/>
          <w:iCs/>
          <w:sz w:val="20"/>
        </w:rPr>
        <w:t xml:space="preserve">: The carrier aggregation operation with </w:t>
      </w:r>
      <w:proofErr w:type="spellStart"/>
      <w:r w:rsidR="00DB3D84" w:rsidRPr="00FA73D9">
        <w:rPr>
          <w:rFonts w:asciiTheme="majorBidi" w:hAnsiTheme="majorBidi" w:cstheme="majorBidi"/>
          <w:bCs/>
          <w:iCs/>
          <w:sz w:val="20"/>
        </w:rPr>
        <w:t>Scells</w:t>
      </w:r>
      <w:proofErr w:type="spellEnd"/>
      <w:r w:rsidR="00DB3D84" w:rsidRPr="00FA73D9">
        <w:rPr>
          <w:rFonts w:asciiTheme="majorBidi" w:hAnsiTheme="majorBidi" w:cstheme="majorBidi"/>
          <w:bCs/>
          <w:iCs/>
          <w:sz w:val="20"/>
        </w:rPr>
        <w:t xml:space="preserve"> of different DL/UL configurations is not supported.</w:t>
      </w:r>
    </w:p>
    <w:p w14:paraId="0469D57F" w14:textId="187AB43E" w:rsidR="00EA1901" w:rsidRDefault="00EA1901" w:rsidP="00EA1901">
      <w:pPr>
        <w:jc w:val="both"/>
        <w:rPr>
          <w:rFonts w:asciiTheme="majorBidi" w:hAnsiTheme="majorBidi" w:cstheme="majorBidi"/>
          <w:bCs/>
          <w:iCs/>
        </w:rPr>
      </w:pPr>
    </w:p>
    <w:p w14:paraId="51BA0302" w14:textId="77777777" w:rsidR="00EA1901" w:rsidRPr="00DE44D6" w:rsidRDefault="00EA1901" w:rsidP="00EA1901">
      <w:pPr>
        <w:pStyle w:val="Heading1"/>
        <w:jc w:val="both"/>
        <w:rPr>
          <w:rFonts w:ascii="Times New Roman" w:hAnsi="Times New Roman"/>
        </w:rPr>
      </w:pPr>
      <w:r>
        <w:rPr>
          <w:rFonts w:ascii="Times New Roman" w:hAnsi="Times New Roman"/>
        </w:rPr>
        <w:t>LTE Uplink Link Budget under EN-DC Single-Tx TDM Operation</w:t>
      </w:r>
    </w:p>
    <w:p w14:paraId="483F31BC" w14:textId="77777777" w:rsidR="00EA1901" w:rsidRDefault="00EA1901" w:rsidP="00EA1901">
      <w:pPr>
        <w:jc w:val="both"/>
      </w:pPr>
      <w:r w:rsidRPr="00D67D74">
        <w:t>Based on the Rel. 15 case</w:t>
      </w:r>
      <w:r>
        <w:t>-1 solution, both</w:t>
      </w:r>
      <w:r w:rsidRPr="00D67D74">
        <w:t xml:space="preserve"> the DL HARQ reporting </w:t>
      </w:r>
      <w:r>
        <w:t>as well as uplink data transmission are</w:t>
      </w:r>
      <w:r w:rsidRPr="00D67D74">
        <w:t xml:space="preserve"> restricted to a subse</w:t>
      </w:r>
      <w:r>
        <w:t xml:space="preserve">t of uplink subframes. </w:t>
      </w:r>
      <w:proofErr w:type="gramStart"/>
      <w:r>
        <w:t>Considering the fact that</w:t>
      </w:r>
      <w:proofErr w:type="gramEnd"/>
      <w:r>
        <w:t xml:space="preserve"> the maximum LTE uplink utilization for LTE-NR users is 60%, the uplink link budget of LTE experiences a 2.2dB loss. This loss makes it challenging to reuse the LTE sites for the EN-DC users. </w:t>
      </w:r>
    </w:p>
    <w:p w14:paraId="02457942" w14:textId="034DC5FB" w:rsidR="00EA1901" w:rsidRDefault="000A7522" w:rsidP="00EA1901">
      <w:pPr>
        <w:jc w:val="both"/>
      </w:pPr>
      <w:r>
        <w:t xml:space="preserve">Unlike DL HARQ, uplink data is not needed to be constrained to a subset of resources. The reason for this can be explained as follows: </w:t>
      </w:r>
      <w:r w:rsidR="00C22C0B">
        <w:t xml:space="preserve">In the downlink, when reaching the maximum throughput is the objective, both LTE and NR carriers should be used. </w:t>
      </w:r>
      <w:r w:rsidR="003155C5">
        <w:t>Hence,</w:t>
      </w:r>
      <w:r w:rsidR="00C22C0B">
        <w:t xml:space="preserve"> uplink collisions due to LTE PUCCH transmissions cannot be avoided. Hence, the LTE HARQ reporting should be limited to a subset of resources. </w:t>
      </w:r>
      <w:r w:rsidR="00C22C0B" w:rsidRPr="00DC6ECF">
        <w:t xml:space="preserve">Now, </w:t>
      </w:r>
      <w:r w:rsidR="00DA0301" w:rsidRPr="00DC6ECF">
        <w:t>for uplink data</w:t>
      </w:r>
      <w:r w:rsidR="00C22C0B" w:rsidRPr="00DC6ECF">
        <w:t>,</w:t>
      </w:r>
      <w:r w:rsidR="00DA0301" w:rsidRPr="00DC6ECF">
        <w:t xml:space="preserve"> the LTE and NR uplink transmissions can be coordinated to be non-overlapping</w:t>
      </w:r>
      <w:r w:rsidR="00C22C0B" w:rsidRPr="00DC6ECF">
        <w:t>.</w:t>
      </w:r>
      <w:r w:rsidR="00DA0301" w:rsidRPr="00DC6ECF">
        <w:t xml:space="preserve"> In other words, there is no reason to limit the LTE PUSCH transmission semi-statically to a subset of uplink subframes. It should be highlighted that such a coordination is already assumed in Rel. 15 EN-DC for UEs capable of dynamic power sharing; for such UEs, NR uplink can take place over all uplink subframes. Considering the coordination is possible, the LTE PUSCH should equally be able to be sent on all available uplink subframes.</w:t>
      </w:r>
    </w:p>
    <w:p w14:paraId="106CD18F" w14:textId="75C68637" w:rsidR="00503421" w:rsidRDefault="00B77174" w:rsidP="00EA1901">
      <w:pPr>
        <w:jc w:val="both"/>
      </w:pPr>
      <w:r>
        <w:t xml:space="preserve">For an EN-DC user that follows the regular uplink HARQ (i.e., </w:t>
      </w:r>
      <w:proofErr w:type="gramStart"/>
      <w:r>
        <w:t>similar to</w:t>
      </w:r>
      <w:proofErr w:type="gramEnd"/>
      <w:r>
        <w:t xml:space="preserve"> without EN-DC), two modes of operation can be considered if collisions should be avoided:</w:t>
      </w:r>
    </w:p>
    <w:p w14:paraId="5C17EA29" w14:textId="0ED13659" w:rsidR="00B77174" w:rsidRDefault="00B77174" w:rsidP="008C6BC6">
      <w:pPr>
        <w:pStyle w:val="ListParagraph"/>
        <w:numPr>
          <w:ilvl w:val="0"/>
          <w:numId w:val="7"/>
        </w:numPr>
        <w:jc w:val="both"/>
        <w:rPr>
          <w:rFonts w:ascii="Times New Roman" w:hAnsi="Times New Roman"/>
          <w:sz w:val="20"/>
        </w:rPr>
      </w:pPr>
      <w:r w:rsidRPr="00B77174">
        <w:rPr>
          <w:rFonts w:ascii="Times New Roman" w:hAnsi="Times New Roman"/>
          <w:sz w:val="20"/>
        </w:rPr>
        <w:t xml:space="preserve">The UL HARQ can be </w:t>
      </w:r>
      <w:r>
        <w:rPr>
          <w:rFonts w:ascii="Times New Roman" w:hAnsi="Times New Roman"/>
          <w:sz w:val="20"/>
        </w:rPr>
        <w:t xml:space="preserve">performed in a </w:t>
      </w:r>
      <w:r w:rsidRPr="00B77174">
        <w:rPr>
          <w:rFonts w:ascii="Times New Roman" w:hAnsi="Times New Roman"/>
          <w:sz w:val="20"/>
        </w:rPr>
        <w:t>synchronous</w:t>
      </w:r>
      <w:r>
        <w:rPr>
          <w:rFonts w:ascii="Times New Roman" w:hAnsi="Times New Roman"/>
          <w:sz w:val="20"/>
        </w:rPr>
        <w:t xml:space="preserve"> manner</w:t>
      </w:r>
    </w:p>
    <w:p w14:paraId="3E8D7750" w14:textId="3775514A" w:rsidR="00B77174" w:rsidRDefault="00B77174" w:rsidP="008C6BC6">
      <w:pPr>
        <w:pStyle w:val="ListParagraph"/>
        <w:numPr>
          <w:ilvl w:val="0"/>
          <w:numId w:val="7"/>
        </w:numPr>
        <w:jc w:val="both"/>
        <w:rPr>
          <w:rFonts w:ascii="Times New Roman" w:hAnsi="Times New Roman"/>
          <w:sz w:val="20"/>
        </w:rPr>
      </w:pPr>
      <w:r>
        <w:rPr>
          <w:rFonts w:ascii="Times New Roman" w:hAnsi="Times New Roman"/>
          <w:sz w:val="20"/>
        </w:rPr>
        <w:t>The UL HARQ can be performed in an asynchronous manner.</w:t>
      </w:r>
    </w:p>
    <w:p w14:paraId="2ABC57BB" w14:textId="77777777" w:rsidR="00B77174" w:rsidRPr="00B77174" w:rsidRDefault="00B77174" w:rsidP="00B77174">
      <w:pPr>
        <w:pStyle w:val="ListParagraph"/>
        <w:jc w:val="both"/>
        <w:rPr>
          <w:rFonts w:ascii="Times New Roman" w:hAnsi="Times New Roman"/>
          <w:sz w:val="20"/>
        </w:rPr>
      </w:pPr>
    </w:p>
    <w:p w14:paraId="74484B19" w14:textId="68E62A4F" w:rsidR="00B77174" w:rsidRPr="00B77174" w:rsidRDefault="00B77174" w:rsidP="00B77174">
      <w:pPr>
        <w:jc w:val="both"/>
      </w:pPr>
      <w:r>
        <w:t xml:space="preserve">It should be noted that </w:t>
      </w:r>
      <w:proofErr w:type="spellStart"/>
      <w:r>
        <w:t>asynchrous</w:t>
      </w:r>
      <w:proofErr w:type="spellEnd"/>
      <w:r>
        <w:t xml:space="preserve"> UL HARQ has been supported for different LTE features such as uplink enhancements, </w:t>
      </w:r>
      <w:proofErr w:type="spellStart"/>
      <w:r>
        <w:t>eLAA</w:t>
      </w:r>
      <w:proofErr w:type="spellEnd"/>
      <w:r>
        <w:t xml:space="preserve"> and </w:t>
      </w:r>
      <w:proofErr w:type="spellStart"/>
      <w:r>
        <w:t>sTTI</w:t>
      </w:r>
      <w:proofErr w:type="spellEnd"/>
      <w:r>
        <w:t xml:space="preserve"> and could be desirable to be supported for EN-DC users to reduce the re-transmission latency.</w:t>
      </w:r>
    </w:p>
    <w:p w14:paraId="04E9EABD" w14:textId="3FFAC91D" w:rsidR="00B77174" w:rsidRDefault="00B77174" w:rsidP="00EA1901">
      <w:pPr>
        <w:jc w:val="both"/>
      </w:pPr>
      <w:r>
        <w:t>Based on the discussion in this section, we propose:</w:t>
      </w:r>
    </w:p>
    <w:p w14:paraId="1C79540A" w14:textId="461D3997" w:rsidR="00D07EA5" w:rsidRDefault="00F465D0" w:rsidP="00F465D0">
      <w:pPr>
        <w:jc w:val="both"/>
        <w:rPr>
          <w:b/>
        </w:rPr>
      </w:pPr>
      <w:r>
        <w:rPr>
          <w:b/>
        </w:rPr>
        <w:t>Proposal 1</w:t>
      </w:r>
      <w:r w:rsidR="00EA1901" w:rsidRPr="00D67D74">
        <w:rPr>
          <w:b/>
        </w:rPr>
        <w:t>: For a UE configured with EN-DC</w:t>
      </w:r>
      <w:r w:rsidR="00DA0301">
        <w:rPr>
          <w:b/>
        </w:rPr>
        <w:t xml:space="preserve"> and </w:t>
      </w:r>
      <w:r w:rsidR="00DA0301" w:rsidRPr="00DC6ECF">
        <w:rPr>
          <w:b/>
        </w:rPr>
        <w:t>capable of dynamic power sharing</w:t>
      </w:r>
      <w:r w:rsidR="00EA1901" w:rsidRPr="00D67D74">
        <w:rPr>
          <w:b/>
        </w:rPr>
        <w:t xml:space="preserve">, </w:t>
      </w:r>
      <w:r>
        <w:rPr>
          <w:b/>
        </w:rPr>
        <w:t xml:space="preserve">under the case-1 single-Tx TDM solution, </w:t>
      </w:r>
      <w:r w:rsidR="00EA1901" w:rsidRPr="00D67D74">
        <w:rPr>
          <w:b/>
        </w:rPr>
        <w:t>LTE uplink HARQ is the same as without EN-DC</w:t>
      </w:r>
      <w:r w:rsidR="00662F38">
        <w:rPr>
          <w:b/>
        </w:rPr>
        <w:t xml:space="preserve"> for both FDD and TDD LTE </w:t>
      </w:r>
      <w:proofErr w:type="spellStart"/>
      <w:r w:rsidR="00662F38">
        <w:rPr>
          <w:b/>
        </w:rPr>
        <w:t>Pcell</w:t>
      </w:r>
      <w:proofErr w:type="spellEnd"/>
      <w:r w:rsidR="00DC4D85">
        <w:rPr>
          <w:b/>
        </w:rPr>
        <w:t xml:space="preserve"> and a</w:t>
      </w:r>
      <w:r w:rsidR="00EA1901" w:rsidRPr="00D67D74">
        <w:rPr>
          <w:b/>
        </w:rPr>
        <w:t>ll uplink subframes can be used for LTE uplink data transmission.</w:t>
      </w:r>
    </w:p>
    <w:p w14:paraId="718F7CB8" w14:textId="55A86D71" w:rsidR="009E67C3" w:rsidRPr="00F465D0" w:rsidRDefault="009E67C3" w:rsidP="00F465D0">
      <w:pPr>
        <w:jc w:val="both"/>
        <w:rPr>
          <w:b/>
        </w:rPr>
      </w:pPr>
      <w:r>
        <w:rPr>
          <w:b/>
        </w:rPr>
        <w:t xml:space="preserve">Proposal </w:t>
      </w:r>
      <w:r>
        <w:rPr>
          <w:b/>
        </w:rPr>
        <w:t>2</w:t>
      </w:r>
      <w:r w:rsidRPr="00D67D74">
        <w:rPr>
          <w:b/>
        </w:rPr>
        <w:t xml:space="preserve">: </w:t>
      </w:r>
      <w:r>
        <w:rPr>
          <w:b/>
        </w:rPr>
        <w:t>Due to the severe negative impact on UL li</w:t>
      </w:r>
      <w:r w:rsidR="00DC4D85">
        <w:rPr>
          <w:b/>
        </w:rPr>
        <w:t>n</w:t>
      </w:r>
      <w:r>
        <w:rPr>
          <w:b/>
        </w:rPr>
        <w:t>k budget, don’t intro</w:t>
      </w:r>
      <w:r w:rsidR="0039142B">
        <w:rPr>
          <w:b/>
        </w:rPr>
        <w:t>d</w:t>
      </w:r>
      <w:r>
        <w:rPr>
          <w:b/>
        </w:rPr>
        <w:t>uce case-1 singe-Tx TDM solution in TDD LTE unless data transmission on all UL subframes is enabled</w:t>
      </w:r>
      <w:r w:rsidRPr="00D67D74">
        <w:rPr>
          <w:b/>
        </w:rPr>
        <w:t>.</w:t>
      </w:r>
      <w:bookmarkStart w:id="2" w:name="_GoBack"/>
      <w:bookmarkEnd w:id="2"/>
    </w:p>
    <w:p w14:paraId="0E07AC2D" w14:textId="3BE345FC" w:rsidR="006838AD" w:rsidRPr="00DE44D6" w:rsidRDefault="00043C76" w:rsidP="006838AD">
      <w:pPr>
        <w:pStyle w:val="Heading1"/>
        <w:jc w:val="both"/>
        <w:rPr>
          <w:rFonts w:ascii="Times New Roman" w:hAnsi="Times New Roman"/>
        </w:rPr>
      </w:pPr>
      <w:r>
        <w:rPr>
          <w:rFonts w:ascii="Times New Roman" w:hAnsi="Times New Roman"/>
        </w:rPr>
        <w:lastRenderedPageBreak/>
        <w:t>Single-Tx TDM Operation for EN-DC with TDD-</w:t>
      </w:r>
      <w:proofErr w:type="spellStart"/>
      <w:r>
        <w:rPr>
          <w:rFonts w:ascii="Times New Roman" w:hAnsi="Times New Roman"/>
        </w:rPr>
        <w:t>Pcell</w:t>
      </w:r>
      <w:proofErr w:type="spellEnd"/>
    </w:p>
    <w:p w14:paraId="3363DAB6" w14:textId="7090628C" w:rsidR="00043C76" w:rsidRDefault="00043C76" w:rsidP="007D3C9F">
      <w:pPr>
        <w:jc w:val="both"/>
        <w:rPr>
          <w:bCs/>
          <w:szCs w:val="22"/>
          <w:lang w:val="en-GB"/>
        </w:rPr>
      </w:pPr>
      <w:r w:rsidRPr="00043C76">
        <w:rPr>
          <w:bCs/>
          <w:szCs w:val="22"/>
          <w:lang w:val="en-GB"/>
        </w:rPr>
        <w:t xml:space="preserve">As mentioned </w:t>
      </w:r>
      <w:r w:rsidR="00714CA1">
        <w:rPr>
          <w:bCs/>
          <w:szCs w:val="22"/>
          <w:lang w:val="en-GB"/>
        </w:rPr>
        <w:t>earlier in this paper</w:t>
      </w:r>
      <w:r w:rsidRPr="00043C76">
        <w:rPr>
          <w:bCs/>
          <w:szCs w:val="22"/>
          <w:lang w:val="en-GB"/>
        </w:rPr>
        <w:t>, the Rel. 15 case-1 solution impacts the LTE</w:t>
      </w:r>
      <w:r w:rsidR="00714CA1">
        <w:rPr>
          <w:bCs/>
          <w:szCs w:val="22"/>
          <w:lang w:val="en-GB"/>
        </w:rPr>
        <w:t xml:space="preserve"> with TDD </w:t>
      </w:r>
      <w:proofErr w:type="spellStart"/>
      <w:r w:rsidR="00714CA1">
        <w:rPr>
          <w:bCs/>
          <w:szCs w:val="22"/>
          <w:lang w:val="en-GB"/>
        </w:rPr>
        <w:t>Pcell</w:t>
      </w:r>
      <w:proofErr w:type="spellEnd"/>
      <w:r w:rsidRPr="00043C76">
        <w:rPr>
          <w:bCs/>
          <w:szCs w:val="22"/>
          <w:lang w:val="en-GB"/>
        </w:rPr>
        <w:t xml:space="preserve"> downlink performance since not all the downlink LTE subframes can be scheduled. This is illustrated in Figure 1, where the LTE cell is configured with DL/UL configuration #6, and three subframes are reserved for NR uplink transmissions.</w:t>
      </w:r>
    </w:p>
    <w:p w14:paraId="5809D82C" w14:textId="77777777" w:rsidR="00043C76" w:rsidRDefault="00043C76" w:rsidP="00043C76">
      <w:pPr>
        <w:keepNext/>
        <w:jc w:val="both"/>
      </w:pPr>
      <w:r w:rsidRPr="00043C76">
        <w:rPr>
          <w:noProof/>
        </w:rPr>
        <w:drawing>
          <wp:inline distT="0" distB="0" distL="0" distR="0" wp14:anchorId="69746327" wp14:editId="49BC2271">
            <wp:extent cx="6332220" cy="9794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979415"/>
                    </a:xfrm>
                    <a:prstGeom prst="rect">
                      <a:avLst/>
                    </a:prstGeom>
                    <a:noFill/>
                    <a:ln>
                      <a:noFill/>
                    </a:ln>
                  </pic:spPr>
                </pic:pic>
              </a:graphicData>
            </a:graphic>
          </wp:inline>
        </w:drawing>
      </w:r>
    </w:p>
    <w:p w14:paraId="57FFA4D0" w14:textId="61C74629" w:rsidR="00D07EA5" w:rsidRDefault="00043C76" w:rsidP="00D07EA5">
      <w:pPr>
        <w:pStyle w:val="Caption"/>
        <w:jc w:val="center"/>
      </w:pPr>
      <w:r>
        <w:t xml:space="preserve">Figure </w:t>
      </w:r>
      <w:r w:rsidR="008C6BC6">
        <w:rPr>
          <w:noProof/>
        </w:rPr>
        <w:fldChar w:fldCharType="begin"/>
      </w:r>
      <w:r w:rsidR="008C6BC6">
        <w:rPr>
          <w:noProof/>
        </w:rPr>
        <w:instrText xml:space="preserve"> SEQ Figure \* ARABIC </w:instrText>
      </w:r>
      <w:r w:rsidR="008C6BC6">
        <w:rPr>
          <w:noProof/>
        </w:rPr>
        <w:fldChar w:fldCharType="separate"/>
      </w:r>
      <w:r w:rsidR="00781CB8">
        <w:rPr>
          <w:noProof/>
        </w:rPr>
        <w:t>1</w:t>
      </w:r>
      <w:r w:rsidR="008C6BC6">
        <w:rPr>
          <w:noProof/>
        </w:rPr>
        <w:fldChar w:fldCharType="end"/>
      </w:r>
      <w:r>
        <w:t>: LTE TDD-</w:t>
      </w:r>
      <w:proofErr w:type="spellStart"/>
      <w:r>
        <w:t>Pcell</w:t>
      </w:r>
      <w:proofErr w:type="spellEnd"/>
      <w:r>
        <w:t xml:space="preserve"> with DL/UL configuration #6. Subframes 4, 7 and 8 of each frame are reserved only for NR uplink transmission.</w:t>
      </w:r>
    </w:p>
    <w:p w14:paraId="34DB8CE1" w14:textId="77777777" w:rsidR="00892314" w:rsidRPr="00892314" w:rsidRDefault="00892314" w:rsidP="00892314"/>
    <w:p w14:paraId="43451A5B" w14:textId="77777777" w:rsidR="00D07EA5" w:rsidRDefault="00043C76" w:rsidP="00D07EA5">
      <w:pPr>
        <w:jc w:val="both"/>
      </w:pPr>
      <w:r>
        <w:t>As shown in the figure, on a TDD-</w:t>
      </w:r>
      <w:proofErr w:type="spellStart"/>
      <w:r>
        <w:t>Pcell</w:t>
      </w:r>
      <w:proofErr w:type="spellEnd"/>
      <w:r>
        <w:t>, if the LTE downlink HARQ follows the timing of the configured DL/UL configuration</w:t>
      </w:r>
      <w:r w:rsidR="00D07EA5">
        <w:t xml:space="preserve">, </w:t>
      </w:r>
      <w:proofErr w:type="gramStart"/>
      <w:r w:rsidR="00D07EA5">
        <w:t>a number of</w:t>
      </w:r>
      <w:proofErr w:type="gramEnd"/>
      <w:r w:rsidR="00D07EA5">
        <w:t xml:space="preserve"> DL subframes cannot be used for data transmissions.</w:t>
      </w:r>
    </w:p>
    <w:p w14:paraId="4E5682EE" w14:textId="024CD7AC" w:rsidR="00D07EA5" w:rsidRDefault="00D07EA5" w:rsidP="00D07EA5">
      <w:pPr>
        <w:jc w:val="both"/>
      </w:pPr>
      <w:r>
        <w:t xml:space="preserve">The possible solution </w:t>
      </w:r>
      <w:r w:rsidR="00714CA1">
        <w:t xml:space="preserve">to tackle this issue </w:t>
      </w:r>
      <w:r>
        <w:t xml:space="preserve">is </w:t>
      </w:r>
      <w:proofErr w:type="gramStart"/>
      <w:r>
        <w:t>similar to</w:t>
      </w:r>
      <w:proofErr w:type="gramEnd"/>
      <w:r>
        <w:t xml:space="preserve"> the approach adopted for LTE </w:t>
      </w:r>
      <w:proofErr w:type="spellStart"/>
      <w:r>
        <w:t>eIMTA</w:t>
      </w:r>
      <w:proofErr w:type="spellEnd"/>
      <w:r>
        <w:t xml:space="preserve">; in particular, for a TDD cell, a UE-specific DL/UL configuration can be configured. Instead of following the DL HARQ timing of the SIB1 indicated DL/UL configuration, the UE follows the timing associated with the RRC DL/UL configuration. </w:t>
      </w:r>
      <w:r w:rsidR="0004476A">
        <w:t>An example is illustrated in Figure 2.</w:t>
      </w:r>
    </w:p>
    <w:p w14:paraId="3A5BEEDF" w14:textId="77777777" w:rsidR="0004476A" w:rsidRDefault="0004476A" w:rsidP="0004476A">
      <w:pPr>
        <w:keepNext/>
        <w:jc w:val="center"/>
      </w:pPr>
      <w:r w:rsidRPr="0004476A">
        <w:object w:dxaOrig="18562" w:dyaOrig="5310" w14:anchorId="54738E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65pt;height:142.95pt" o:ole="">
            <v:imagedata r:id="rId13" o:title=""/>
          </v:shape>
          <o:OLEObject Type="Embed" ProgID="Visio.Drawing.15" ShapeID="_x0000_i1025" DrawAspect="Content" ObjectID="_1611773615" r:id="rId14"/>
        </w:object>
      </w:r>
    </w:p>
    <w:p w14:paraId="7D45DF8D" w14:textId="24BDCC40" w:rsidR="0004476A" w:rsidRDefault="0004476A" w:rsidP="0004476A">
      <w:pPr>
        <w:pStyle w:val="Caption"/>
        <w:jc w:val="center"/>
      </w:pPr>
      <w:r>
        <w:t xml:space="preserve">Figure </w:t>
      </w:r>
      <w:r w:rsidR="008C6BC6">
        <w:rPr>
          <w:noProof/>
        </w:rPr>
        <w:fldChar w:fldCharType="begin"/>
      </w:r>
      <w:r w:rsidR="008C6BC6">
        <w:rPr>
          <w:noProof/>
        </w:rPr>
        <w:instrText xml:space="preserve"> SEQ Figure \* ARABIC </w:instrText>
      </w:r>
      <w:r w:rsidR="008C6BC6">
        <w:rPr>
          <w:noProof/>
        </w:rPr>
        <w:fldChar w:fldCharType="separate"/>
      </w:r>
      <w:r w:rsidR="00781CB8">
        <w:rPr>
          <w:noProof/>
        </w:rPr>
        <w:t>2</w:t>
      </w:r>
      <w:r w:rsidR="008C6BC6">
        <w:rPr>
          <w:noProof/>
        </w:rPr>
        <w:fldChar w:fldCharType="end"/>
      </w:r>
      <w:r>
        <w:t>: LTE downlink HARQ timing in EN-DC with (1) Rel. 15 case-1 solution, and (2) Rel. 16 case-1 solution.</w:t>
      </w:r>
    </w:p>
    <w:p w14:paraId="52B19D14" w14:textId="02E3E628" w:rsidR="0004476A" w:rsidRDefault="0004476A" w:rsidP="0004476A"/>
    <w:p w14:paraId="7C01307E" w14:textId="6754E8D5" w:rsidR="0004476A" w:rsidRDefault="00714CA1" w:rsidP="00EF4476">
      <w:pPr>
        <w:jc w:val="both"/>
      </w:pPr>
      <w:r>
        <w:t>As shown in Figure 2, by</w:t>
      </w:r>
      <w:r w:rsidR="00EF4476">
        <w:t xml:space="preserve"> following the HARQ timing of the RRC indicated DL/UL configuration, all LTE downlink subframes can be scheduled; the HARQ-ACK reporting is constrained to subframe 2 and 7 of each frame. </w:t>
      </w:r>
      <w:r>
        <w:t xml:space="preserve">Based on Proposal 1, for the case of LTE with TDD </w:t>
      </w:r>
      <w:proofErr w:type="spellStart"/>
      <w:r>
        <w:t>Pcell</w:t>
      </w:r>
      <w:proofErr w:type="spellEnd"/>
      <w:r>
        <w:t xml:space="preserve"> too, uplink HARQ timing is the same as without EN-DC.</w:t>
      </w:r>
    </w:p>
    <w:p w14:paraId="2C6DAD11" w14:textId="7E91FF3E" w:rsidR="00EF4476" w:rsidRDefault="00EF4476" w:rsidP="00EF4476">
      <w:pPr>
        <w:jc w:val="both"/>
      </w:pPr>
      <w:r>
        <w:t>Based on this discussion, we propose:</w:t>
      </w:r>
    </w:p>
    <w:p w14:paraId="41F9E542" w14:textId="1B1C8CED" w:rsidR="00EF4476" w:rsidRDefault="00714CA1" w:rsidP="00EF4476">
      <w:pPr>
        <w:jc w:val="both"/>
        <w:rPr>
          <w:b/>
        </w:rPr>
      </w:pPr>
      <w:r>
        <w:rPr>
          <w:b/>
        </w:rPr>
        <w:t xml:space="preserve">Proposal </w:t>
      </w:r>
      <w:r w:rsidR="009E67C3">
        <w:rPr>
          <w:b/>
        </w:rPr>
        <w:t>3</w:t>
      </w:r>
      <w:r w:rsidR="00EF4476" w:rsidRPr="008E2BFC">
        <w:rPr>
          <w:b/>
        </w:rPr>
        <w:t xml:space="preserve">: </w:t>
      </w:r>
      <w:r>
        <w:rPr>
          <w:b/>
        </w:rPr>
        <w:t xml:space="preserve">If the need for enabling the case-1 single-Tx TDM solution for EN-DC with LTE-TDD </w:t>
      </w:r>
      <w:proofErr w:type="spellStart"/>
      <w:r>
        <w:rPr>
          <w:b/>
        </w:rPr>
        <w:t>Pcell</w:t>
      </w:r>
      <w:proofErr w:type="spellEnd"/>
      <w:r>
        <w:rPr>
          <w:b/>
        </w:rPr>
        <w:t xml:space="preserve"> is justified, </w:t>
      </w:r>
      <w:r w:rsidR="008E2BFC">
        <w:rPr>
          <w:b/>
        </w:rPr>
        <w:t xml:space="preserve">the </w:t>
      </w:r>
      <w:r w:rsidR="00C538F2">
        <w:rPr>
          <w:b/>
        </w:rPr>
        <w:t xml:space="preserve">LTE </w:t>
      </w:r>
      <w:r w:rsidR="008E2BFC">
        <w:rPr>
          <w:b/>
        </w:rPr>
        <w:t xml:space="preserve">downlink HARQ timing of the </w:t>
      </w:r>
      <w:proofErr w:type="spellStart"/>
      <w:r w:rsidR="008E2BFC">
        <w:rPr>
          <w:b/>
        </w:rPr>
        <w:t>Pcell</w:t>
      </w:r>
      <w:proofErr w:type="spellEnd"/>
      <w:r w:rsidR="008E2BFC">
        <w:rPr>
          <w:b/>
        </w:rPr>
        <w:t xml:space="preserve"> is </w:t>
      </w:r>
      <w:r>
        <w:rPr>
          <w:b/>
        </w:rPr>
        <w:t xml:space="preserve">based on </w:t>
      </w:r>
      <w:r w:rsidR="008E2BFC">
        <w:rPr>
          <w:b/>
        </w:rPr>
        <w:t xml:space="preserve">the timing of the DL/UL configuration given by </w:t>
      </w:r>
      <w:r w:rsidR="003E0BEF">
        <w:rPr>
          <w:b/>
        </w:rPr>
        <w:t xml:space="preserve">the </w:t>
      </w:r>
      <w:r w:rsidR="008E2BFC">
        <w:rPr>
          <w:b/>
        </w:rPr>
        <w:t xml:space="preserve">RRC signaling. </w:t>
      </w:r>
      <w:proofErr w:type="gramStart"/>
      <w:r>
        <w:rPr>
          <w:b/>
        </w:rPr>
        <w:t>Similar to</w:t>
      </w:r>
      <w:proofErr w:type="gramEnd"/>
      <w:r>
        <w:rPr>
          <w:b/>
        </w:rPr>
        <w:t xml:space="preserve"> </w:t>
      </w:r>
      <w:proofErr w:type="spellStart"/>
      <w:r>
        <w:rPr>
          <w:b/>
        </w:rPr>
        <w:t>eIMTA</w:t>
      </w:r>
      <w:proofErr w:type="spellEnd"/>
      <w:r>
        <w:rPr>
          <w:b/>
        </w:rPr>
        <w:t xml:space="preserve">, only DL/UL configurations 2, 4 and 5 can be used as a reference HARQ configuration of the </w:t>
      </w:r>
      <w:proofErr w:type="spellStart"/>
      <w:r>
        <w:rPr>
          <w:b/>
        </w:rPr>
        <w:t>Pcell</w:t>
      </w:r>
      <w:proofErr w:type="spellEnd"/>
      <w:r>
        <w:rPr>
          <w:b/>
        </w:rPr>
        <w:t xml:space="preserve">. Further, the uplink HARQ procedure is </w:t>
      </w:r>
      <w:proofErr w:type="gramStart"/>
      <w:r>
        <w:rPr>
          <w:b/>
        </w:rPr>
        <w:t>similar to</w:t>
      </w:r>
      <w:proofErr w:type="gramEnd"/>
      <w:r>
        <w:rPr>
          <w:b/>
        </w:rPr>
        <w:t xml:space="preserve"> the case without EN-DC.</w:t>
      </w:r>
    </w:p>
    <w:p w14:paraId="4AB669EC" w14:textId="22EC9D43" w:rsidR="00076547" w:rsidRPr="00DE44D6" w:rsidRDefault="00076547" w:rsidP="00076547">
      <w:pPr>
        <w:pStyle w:val="Heading1"/>
        <w:jc w:val="both"/>
        <w:rPr>
          <w:rFonts w:ascii="Times New Roman" w:hAnsi="Times New Roman"/>
        </w:rPr>
      </w:pPr>
      <w:r>
        <w:rPr>
          <w:rFonts w:ascii="Times New Roman" w:hAnsi="Times New Roman"/>
        </w:rPr>
        <w:lastRenderedPageBreak/>
        <w:t>Single-Tx TDM Operation for EN-DC with LTE-CA</w:t>
      </w:r>
    </w:p>
    <w:p w14:paraId="1D3D252B" w14:textId="77777777" w:rsidR="00077800" w:rsidRDefault="00424AE0" w:rsidP="00EF4476">
      <w:pPr>
        <w:jc w:val="both"/>
      </w:pPr>
      <w:r w:rsidRPr="00424AE0">
        <w:t xml:space="preserve">In Rel. 15, </w:t>
      </w:r>
      <w:r w:rsidR="003E0BEF">
        <w:t xml:space="preserve">LTE CA with TDD secondary cells of different DL/UL configurations are not covered by the case-1 single-Tx TDM solution. Once the </w:t>
      </w:r>
      <w:proofErr w:type="spellStart"/>
      <w:r w:rsidR="003E0BEF">
        <w:t>Pcell</w:t>
      </w:r>
      <w:proofErr w:type="spellEnd"/>
      <w:r w:rsidR="003E0BEF">
        <w:t xml:space="preserve"> (either TDD or FDD) is configured with a DL HARQ reference configuration, this issue </w:t>
      </w:r>
      <w:r>
        <w:t xml:space="preserve">can be solved by following the LTE-TDD CA, where cells have different DL/UL configurations. </w:t>
      </w:r>
    </w:p>
    <w:p w14:paraId="30F584E6" w14:textId="7F268420" w:rsidR="00781CB8" w:rsidRDefault="00424AE0" w:rsidP="00EF4476">
      <w:pPr>
        <w:jc w:val="both"/>
      </w:pPr>
      <w:r>
        <w:t>In LTE-TDD CA, the downlink HARQ timing</w:t>
      </w:r>
      <w:r w:rsidR="00F3607C">
        <w:t xml:space="preserve"> reference of the secondary cell is given as a function of its SI</w:t>
      </w:r>
      <w:r w:rsidR="004030E5">
        <w:t>B1 DL/UL configuration and SIB</w:t>
      </w:r>
      <w:r w:rsidR="00F3607C">
        <w:t xml:space="preserve">1 DL/UL configuration of the </w:t>
      </w:r>
      <w:proofErr w:type="spellStart"/>
      <w:r w:rsidR="00F3607C">
        <w:t>Pcell</w:t>
      </w:r>
      <w:proofErr w:type="spellEnd"/>
      <w:r w:rsidR="00F3607C">
        <w:t>. For the case of EN-DC with either the FDD-</w:t>
      </w:r>
      <w:proofErr w:type="spellStart"/>
      <w:r w:rsidR="00F3607C">
        <w:t>Pcell</w:t>
      </w:r>
      <w:proofErr w:type="spellEnd"/>
      <w:r w:rsidR="00F3607C">
        <w:t xml:space="preserve"> or TDD-</w:t>
      </w:r>
      <w:proofErr w:type="spellStart"/>
      <w:r w:rsidR="00F3607C">
        <w:t>Pcell</w:t>
      </w:r>
      <w:proofErr w:type="spellEnd"/>
      <w:r w:rsidR="00F3607C">
        <w:t xml:space="preserve">, the downlink HARQ timing reference of a TDD </w:t>
      </w:r>
      <w:r w:rsidR="004030E5">
        <w:t xml:space="preserve">secondary cell can be determined as a function of its own SIB1 DL/UL configuration and the RRC DL/UL configuration of the </w:t>
      </w:r>
      <w:proofErr w:type="spellStart"/>
      <w:r w:rsidR="004030E5">
        <w:t>Pcell</w:t>
      </w:r>
      <w:proofErr w:type="spellEnd"/>
      <w:r w:rsidR="004030E5">
        <w:t xml:space="preserve">. Following the Rel. 11 LTE specification, the </w:t>
      </w:r>
      <w:r w:rsidR="00781CB8">
        <w:t>DL HARQ timing reference of a TDD serving cell can be given by Table 1:</w:t>
      </w:r>
    </w:p>
    <w:p w14:paraId="5022CAB4" w14:textId="77777777" w:rsidR="00892314" w:rsidRDefault="00892314" w:rsidP="00EF4476">
      <w:pPr>
        <w:jc w:val="bo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7"/>
        <w:gridCol w:w="1044"/>
        <w:gridCol w:w="853"/>
        <w:gridCol w:w="822"/>
        <w:gridCol w:w="851"/>
        <w:gridCol w:w="850"/>
        <w:gridCol w:w="881"/>
        <w:gridCol w:w="851"/>
        <w:gridCol w:w="851"/>
      </w:tblGrid>
      <w:tr w:rsidR="00781CB8" w:rsidRPr="00DD093D" w14:paraId="60F139C9" w14:textId="77777777" w:rsidTr="00EC7EDE">
        <w:trPr>
          <w:trHeight w:val="300"/>
          <w:jc w:val="center"/>
        </w:trPr>
        <w:tc>
          <w:tcPr>
            <w:tcW w:w="2611" w:type="dxa"/>
            <w:gridSpan w:val="2"/>
            <w:vMerge w:val="restart"/>
            <w:tcBorders>
              <w:top w:val="single" w:sz="4" w:space="0" w:color="auto"/>
            </w:tcBorders>
            <w:shd w:val="clear" w:color="auto" w:fill="auto"/>
            <w:noWrap/>
            <w:vAlign w:val="center"/>
          </w:tcPr>
          <w:p w14:paraId="2AC80F19" w14:textId="77777777" w:rsidR="00781CB8" w:rsidRPr="00DD093D" w:rsidRDefault="00781CB8" w:rsidP="00EC7EDE">
            <w:pPr>
              <w:spacing w:line="276" w:lineRule="auto"/>
              <w:rPr>
                <w:color w:val="000000"/>
                <w:lang w:eastAsia="zh-CN"/>
              </w:rPr>
            </w:pPr>
            <w:r w:rsidRPr="00DD093D">
              <w:rPr>
                <w:color w:val="000000"/>
                <w:lang w:eastAsia="zh-CN"/>
              </w:rPr>
              <w:t xml:space="preserve">PDSCH HARQ timing on </w:t>
            </w:r>
            <w:proofErr w:type="spellStart"/>
            <w:r w:rsidRPr="00DD093D">
              <w:rPr>
                <w:color w:val="000000"/>
                <w:lang w:eastAsia="zh-CN"/>
              </w:rPr>
              <w:t>SCell</w:t>
            </w:r>
            <w:proofErr w:type="spellEnd"/>
            <w:r w:rsidRPr="00DD093D">
              <w:rPr>
                <w:color w:val="000000"/>
                <w:lang w:eastAsia="zh-CN"/>
              </w:rPr>
              <w:t xml:space="preserve"> follows </w:t>
            </w:r>
            <w:r>
              <w:rPr>
                <w:rFonts w:hint="eastAsia"/>
                <w:color w:val="000000"/>
                <w:lang w:eastAsia="zh-CN"/>
              </w:rPr>
              <w:t xml:space="preserve">TDD </w:t>
            </w:r>
            <w:r w:rsidRPr="00DD093D">
              <w:rPr>
                <w:color w:val="000000"/>
                <w:lang w:eastAsia="zh-CN"/>
              </w:rPr>
              <w:t>UL-DL configuration #</w:t>
            </w:r>
            <w:r w:rsidRPr="00613391">
              <w:rPr>
                <w:color w:val="0000FF"/>
              </w:rPr>
              <w:t xml:space="preserve"> </w:t>
            </w:r>
          </w:p>
        </w:tc>
        <w:tc>
          <w:tcPr>
            <w:tcW w:w="5959" w:type="dxa"/>
            <w:gridSpan w:val="7"/>
            <w:shd w:val="clear" w:color="auto" w:fill="auto"/>
            <w:noWrap/>
            <w:vAlign w:val="center"/>
          </w:tcPr>
          <w:p w14:paraId="57F80554" w14:textId="77777777" w:rsidR="00781CB8" w:rsidRPr="00DD093D" w:rsidRDefault="00781CB8" w:rsidP="00EC7EDE">
            <w:pPr>
              <w:spacing w:line="276" w:lineRule="auto"/>
              <w:jc w:val="center"/>
              <w:rPr>
                <w:color w:val="000000"/>
                <w:lang w:eastAsia="zh-CN"/>
              </w:rPr>
            </w:pPr>
            <w:proofErr w:type="spellStart"/>
            <w:r>
              <w:rPr>
                <w:rFonts w:hint="eastAsia"/>
                <w:color w:val="000000"/>
                <w:lang w:eastAsia="zh-CN"/>
              </w:rPr>
              <w:t>P</w:t>
            </w:r>
            <w:r w:rsidRPr="00B93526">
              <w:rPr>
                <w:color w:val="000000"/>
                <w:lang w:eastAsia="zh-CN"/>
              </w:rPr>
              <w:t>cell</w:t>
            </w:r>
            <w:proofErr w:type="spellEnd"/>
            <w:r w:rsidRPr="00B93526">
              <w:rPr>
                <w:color w:val="000000"/>
                <w:lang w:eastAsia="zh-CN"/>
              </w:rPr>
              <w:t xml:space="preserve"> </w:t>
            </w:r>
            <w:r w:rsidRPr="003B01CC">
              <w:rPr>
                <w:color w:val="000000"/>
                <w:lang w:eastAsia="zh-CN"/>
              </w:rPr>
              <w:t>RRC</w:t>
            </w:r>
            <w:r w:rsidRPr="00B93526">
              <w:rPr>
                <w:color w:val="000000"/>
                <w:lang w:eastAsia="zh-CN"/>
              </w:rPr>
              <w:t xml:space="preserve"> UL-DL Configuration</w:t>
            </w:r>
          </w:p>
        </w:tc>
      </w:tr>
      <w:tr w:rsidR="00781CB8" w:rsidRPr="00DD093D" w14:paraId="332A9A18" w14:textId="77777777" w:rsidTr="00EC7EDE">
        <w:trPr>
          <w:trHeight w:val="300"/>
          <w:jc w:val="center"/>
        </w:trPr>
        <w:tc>
          <w:tcPr>
            <w:tcW w:w="2611" w:type="dxa"/>
            <w:gridSpan w:val="2"/>
            <w:vMerge/>
            <w:shd w:val="clear" w:color="auto" w:fill="auto"/>
            <w:noWrap/>
            <w:vAlign w:val="bottom"/>
          </w:tcPr>
          <w:p w14:paraId="2142BECB" w14:textId="77777777" w:rsidR="00781CB8" w:rsidRPr="00DD093D" w:rsidRDefault="00781CB8" w:rsidP="00EC7EDE">
            <w:pPr>
              <w:spacing w:line="276" w:lineRule="auto"/>
              <w:rPr>
                <w:rFonts w:eastAsia="Times New Roman"/>
                <w:color w:val="000000"/>
                <w:lang w:eastAsia="ja-JP"/>
              </w:rPr>
            </w:pPr>
          </w:p>
        </w:tc>
        <w:tc>
          <w:tcPr>
            <w:tcW w:w="853" w:type="dxa"/>
            <w:shd w:val="clear" w:color="auto" w:fill="E2EFD9" w:themeFill="accent6" w:themeFillTint="33"/>
            <w:noWrap/>
            <w:vAlign w:val="bottom"/>
          </w:tcPr>
          <w:p w14:paraId="189E455E"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0</w:t>
            </w:r>
          </w:p>
        </w:tc>
        <w:tc>
          <w:tcPr>
            <w:tcW w:w="822" w:type="dxa"/>
            <w:shd w:val="clear" w:color="auto" w:fill="E2EFD9" w:themeFill="accent6" w:themeFillTint="33"/>
            <w:noWrap/>
            <w:vAlign w:val="bottom"/>
          </w:tcPr>
          <w:p w14:paraId="0AD7F5E7"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1</w:t>
            </w:r>
          </w:p>
        </w:tc>
        <w:tc>
          <w:tcPr>
            <w:tcW w:w="851" w:type="dxa"/>
            <w:shd w:val="clear" w:color="auto" w:fill="E2EFD9" w:themeFill="accent6" w:themeFillTint="33"/>
            <w:noWrap/>
            <w:vAlign w:val="bottom"/>
          </w:tcPr>
          <w:p w14:paraId="1A014EBA"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2</w:t>
            </w:r>
          </w:p>
        </w:tc>
        <w:tc>
          <w:tcPr>
            <w:tcW w:w="850" w:type="dxa"/>
            <w:shd w:val="clear" w:color="auto" w:fill="E2EFD9" w:themeFill="accent6" w:themeFillTint="33"/>
            <w:noWrap/>
            <w:vAlign w:val="bottom"/>
          </w:tcPr>
          <w:p w14:paraId="3F35E4B3"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3</w:t>
            </w:r>
          </w:p>
        </w:tc>
        <w:tc>
          <w:tcPr>
            <w:tcW w:w="881" w:type="dxa"/>
            <w:shd w:val="clear" w:color="auto" w:fill="E2EFD9" w:themeFill="accent6" w:themeFillTint="33"/>
            <w:noWrap/>
            <w:vAlign w:val="bottom"/>
          </w:tcPr>
          <w:p w14:paraId="11938A89"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4</w:t>
            </w:r>
          </w:p>
        </w:tc>
        <w:tc>
          <w:tcPr>
            <w:tcW w:w="851" w:type="dxa"/>
            <w:shd w:val="clear" w:color="auto" w:fill="E2EFD9" w:themeFill="accent6" w:themeFillTint="33"/>
            <w:noWrap/>
            <w:vAlign w:val="bottom"/>
          </w:tcPr>
          <w:p w14:paraId="643665A3"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5</w:t>
            </w:r>
          </w:p>
        </w:tc>
        <w:tc>
          <w:tcPr>
            <w:tcW w:w="851" w:type="dxa"/>
            <w:shd w:val="clear" w:color="auto" w:fill="E2EFD9" w:themeFill="accent6" w:themeFillTint="33"/>
            <w:noWrap/>
            <w:vAlign w:val="bottom"/>
          </w:tcPr>
          <w:p w14:paraId="15E5FD14"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6</w:t>
            </w:r>
          </w:p>
        </w:tc>
      </w:tr>
      <w:tr w:rsidR="00781CB8" w:rsidRPr="00DD093D" w14:paraId="3758DFA2" w14:textId="77777777" w:rsidTr="00EC7EDE">
        <w:trPr>
          <w:trHeight w:val="300"/>
          <w:jc w:val="center"/>
        </w:trPr>
        <w:tc>
          <w:tcPr>
            <w:tcW w:w="1567" w:type="dxa"/>
            <w:vMerge w:val="restart"/>
            <w:shd w:val="clear" w:color="auto" w:fill="auto"/>
            <w:noWrap/>
            <w:vAlign w:val="center"/>
          </w:tcPr>
          <w:p w14:paraId="04665C8B" w14:textId="77777777" w:rsidR="00781CB8" w:rsidRPr="00DD093D" w:rsidRDefault="00781CB8" w:rsidP="00EC7EDE">
            <w:pPr>
              <w:rPr>
                <w:rFonts w:eastAsia="Times New Roman"/>
                <w:color w:val="000000"/>
                <w:lang w:eastAsia="ja-JP"/>
              </w:rPr>
            </w:pPr>
            <w:proofErr w:type="spellStart"/>
            <w:r>
              <w:rPr>
                <w:rFonts w:hint="eastAsia"/>
                <w:color w:val="000000"/>
                <w:lang w:eastAsia="zh-CN"/>
              </w:rPr>
              <w:t>Sc</w:t>
            </w:r>
            <w:r w:rsidRPr="00B93526">
              <w:rPr>
                <w:color w:val="000000"/>
                <w:lang w:eastAsia="zh-CN"/>
              </w:rPr>
              <w:t>ell</w:t>
            </w:r>
            <w:proofErr w:type="spellEnd"/>
            <w:r w:rsidRPr="00B93526">
              <w:rPr>
                <w:color w:val="000000"/>
                <w:lang w:eastAsia="zh-CN"/>
              </w:rPr>
              <w:t xml:space="preserve"> SIB-1 UL-DL Configuration</w:t>
            </w:r>
          </w:p>
        </w:tc>
        <w:tc>
          <w:tcPr>
            <w:tcW w:w="1044" w:type="dxa"/>
            <w:shd w:val="clear" w:color="auto" w:fill="EDEDED" w:themeFill="accent3" w:themeFillTint="33"/>
            <w:vAlign w:val="bottom"/>
          </w:tcPr>
          <w:p w14:paraId="65F90175"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0</w:t>
            </w:r>
          </w:p>
        </w:tc>
        <w:tc>
          <w:tcPr>
            <w:tcW w:w="853" w:type="dxa"/>
            <w:tcBorders>
              <w:tl2br w:val="single" w:sz="4" w:space="0" w:color="000000"/>
            </w:tcBorders>
            <w:shd w:val="clear" w:color="auto" w:fill="FFFFFF" w:themeFill="background1"/>
            <w:noWrap/>
            <w:vAlign w:val="bottom"/>
          </w:tcPr>
          <w:p w14:paraId="1CB9D1DA" w14:textId="77777777" w:rsidR="00781CB8" w:rsidRPr="00DD093D" w:rsidRDefault="00781CB8" w:rsidP="00EC7EDE">
            <w:pPr>
              <w:jc w:val="center"/>
              <w:rPr>
                <w:color w:val="000000"/>
                <w:lang w:eastAsia="zh-CN"/>
              </w:rPr>
            </w:pPr>
          </w:p>
        </w:tc>
        <w:tc>
          <w:tcPr>
            <w:tcW w:w="822" w:type="dxa"/>
            <w:shd w:val="clear" w:color="auto" w:fill="DEEAF6" w:themeFill="accent1" w:themeFillTint="33"/>
            <w:noWrap/>
            <w:vAlign w:val="bottom"/>
          </w:tcPr>
          <w:p w14:paraId="1FB464B3" w14:textId="77777777" w:rsidR="00781CB8" w:rsidRPr="00DD093D" w:rsidRDefault="00781CB8" w:rsidP="00EC7EDE">
            <w:pPr>
              <w:jc w:val="center"/>
              <w:rPr>
                <w:color w:val="000000"/>
                <w:lang w:eastAsia="zh-CN"/>
              </w:rPr>
            </w:pPr>
            <w:r>
              <w:rPr>
                <w:color w:val="000000"/>
                <w:lang w:eastAsia="zh-CN"/>
              </w:rPr>
              <w:t>1</w:t>
            </w:r>
          </w:p>
        </w:tc>
        <w:tc>
          <w:tcPr>
            <w:tcW w:w="851" w:type="dxa"/>
            <w:shd w:val="clear" w:color="auto" w:fill="DEEAF6" w:themeFill="accent1" w:themeFillTint="33"/>
            <w:noWrap/>
            <w:vAlign w:val="bottom"/>
          </w:tcPr>
          <w:p w14:paraId="6687EBF6" w14:textId="77777777" w:rsidR="00781CB8" w:rsidRPr="00DD093D" w:rsidRDefault="00781CB8" w:rsidP="00EC7EDE">
            <w:pPr>
              <w:jc w:val="center"/>
              <w:rPr>
                <w:color w:val="000000"/>
                <w:lang w:eastAsia="zh-CN"/>
              </w:rPr>
            </w:pPr>
            <w:r>
              <w:rPr>
                <w:color w:val="000000"/>
                <w:lang w:eastAsia="zh-CN"/>
              </w:rPr>
              <w:t>2</w:t>
            </w:r>
          </w:p>
        </w:tc>
        <w:tc>
          <w:tcPr>
            <w:tcW w:w="850" w:type="dxa"/>
            <w:shd w:val="clear" w:color="auto" w:fill="DEEAF6" w:themeFill="accent1" w:themeFillTint="33"/>
            <w:noWrap/>
            <w:vAlign w:val="bottom"/>
          </w:tcPr>
          <w:p w14:paraId="07741A68"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3</w:t>
            </w:r>
          </w:p>
        </w:tc>
        <w:tc>
          <w:tcPr>
            <w:tcW w:w="881" w:type="dxa"/>
            <w:shd w:val="clear" w:color="auto" w:fill="DEEAF6" w:themeFill="accent1" w:themeFillTint="33"/>
            <w:noWrap/>
            <w:vAlign w:val="bottom"/>
          </w:tcPr>
          <w:p w14:paraId="0C25B9B0"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4</w:t>
            </w:r>
          </w:p>
        </w:tc>
        <w:tc>
          <w:tcPr>
            <w:tcW w:w="851" w:type="dxa"/>
            <w:shd w:val="clear" w:color="auto" w:fill="DEEAF6" w:themeFill="accent1" w:themeFillTint="33"/>
            <w:noWrap/>
            <w:vAlign w:val="bottom"/>
          </w:tcPr>
          <w:p w14:paraId="1E51475E"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5</w:t>
            </w:r>
          </w:p>
        </w:tc>
        <w:tc>
          <w:tcPr>
            <w:tcW w:w="851" w:type="dxa"/>
            <w:shd w:val="clear" w:color="auto" w:fill="DEEAF6" w:themeFill="accent1" w:themeFillTint="33"/>
            <w:noWrap/>
            <w:vAlign w:val="bottom"/>
          </w:tcPr>
          <w:p w14:paraId="2F2B9DFE"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6</w:t>
            </w:r>
          </w:p>
        </w:tc>
      </w:tr>
      <w:tr w:rsidR="00781CB8" w14:paraId="29046B3D" w14:textId="77777777" w:rsidTr="00EC7EDE">
        <w:trPr>
          <w:trHeight w:val="300"/>
          <w:jc w:val="center"/>
        </w:trPr>
        <w:tc>
          <w:tcPr>
            <w:tcW w:w="1567" w:type="dxa"/>
            <w:vMerge/>
            <w:shd w:val="clear" w:color="auto" w:fill="auto"/>
            <w:noWrap/>
            <w:vAlign w:val="bottom"/>
          </w:tcPr>
          <w:p w14:paraId="678812D4" w14:textId="77777777" w:rsidR="00781CB8" w:rsidRPr="00DD093D" w:rsidRDefault="00781CB8" w:rsidP="00EC7EDE">
            <w:pPr>
              <w:jc w:val="both"/>
              <w:rPr>
                <w:rFonts w:eastAsia="Times New Roman"/>
                <w:color w:val="000000"/>
                <w:lang w:eastAsia="ja-JP"/>
              </w:rPr>
            </w:pPr>
          </w:p>
        </w:tc>
        <w:tc>
          <w:tcPr>
            <w:tcW w:w="1044" w:type="dxa"/>
            <w:shd w:val="clear" w:color="auto" w:fill="EDEDED" w:themeFill="accent3" w:themeFillTint="33"/>
            <w:vAlign w:val="bottom"/>
          </w:tcPr>
          <w:p w14:paraId="6A474C12"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1</w:t>
            </w:r>
          </w:p>
        </w:tc>
        <w:tc>
          <w:tcPr>
            <w:tcW w:w="853" w:type="dxa"/>
            <w:shd w:val="clear" w:color="auto" w:fill="DEEAF6" w:themeFill="accent1" w:themeFillTint="33"/>
            <w:noWrap/>
            <w:vAlign w:val="bottom"/>
          </w:tcPr>
          <w:p w14:paraId="4C3E2E72" w14:textId="77777777" w:rsidR="00781CB8" w:rsidRPr="00DD093D" w:rsidRDefault="00781CB8" w:rsidP="00EC7EDE">
            <w:pPr>
              <w:jc w:val="center"/>
              <w:rPr>
                <w:color w:val="000000"/>
                <w:lang w:eastAsia="zh-CN"/>
              </w:rPr>
            </w:pPr>
            <w:r>
              <w:rPr>
                <w:color w:val="000000"/>
                <w:lang w:eastAsia="zh-CN"/>
              </w:rPr>
              <w:t>1</w:t>
            </w:r>
          </w:p>
        </w:tc>
        <w:tc>
          <w:tcPr>
            <w:tcW w:w="822" w:type="dxa"/>
            <w:tcBorders>
              <w:tl2br w:val="single" w:sz="4" w:space="0" w:color="000000"/>
            </w:tcBorders>
            <w:shd w:val="clear" w:color="auto" w:fill="FFFFFF" w:themeFill="background1"/>
            <w:noWrap/>
            <w:vAlign w:val="bottom"/>
          </w:tcPr>
          <w:p w14:paraId="0888B870" w14:textId="77777777" w:rsidR="00781CB8" w:rsidRPr="00DD093D" w:rsidRDefault="00781CB8" w:rsidP="00EC7EDE">
            <w:pPr>
              <w:jc w:val="center"/>
              <w:rPr>
                <w:rFonts w:eastAsia="Times New Roman"/>
                <w:color w:val="000000"/>
                <w:lang w:eastAsia="ja-JP"/>
              </w:rPr>
            </w:pPr>
          </w:p>
        </w:tc>
        <w:tc>
          <w:tcPr>
            <w:tcW w:w="851" w:type="dxa"/>
            <w:shd w:val="clear" w:color="auto" w:fill="DEEAF6" w:themeFill="accent1" w:themeFillTint="33"/>
            <w:noWrap/>
            <w:vAlign w:val="bottom"/>
          </w:tcPr>
          <w:p w14:paraId="00185F2F"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2</w:t>
            </w:r>
          </w:p>
        </w:tc>
        <w:tc>
          <w:tcPr>
            <w:tcW w:w="850" w:type="dxa"/>
            <w:shd w:val="clear" w:color="auto" w:fill="DEEAF6" w:themeFill="accent1" w:themeFillTint="33"/>
            <w:noWrap/>
            <w:vAlign w:val="bottom"/>
          </w:tcPr>
          <w:p w14:paraId="42082DEB" w14:textId="77777777" w:rsidR="00781CB8" w:rsidRPr="00DD093D" w:rsidRDefault="00781CB8" w:rsidP="00EC7EDE">
            <w:pPr>
              <w:jc w:val="center"/>
              <w:rPr>
                <w:color w:val="000000"/>
                <w:lang w:eastAsia="zh-CN"/>
              </w:rPr>
            </w:pPr>
            <w:r>
              <w:rPr>
                <w:color w:val="000000"/>
                <w:lang w:eastAsia="zh-CN"/>
              </w:rPr>
              <w:t>4</w:t>
            </w:r>
          </w:p>
        </w:tc>
        <w:tc>
          <w:tcPr>
            <w:tcW w:w="881" w:type="dxa"/>
            <w:shd w:val="clear" w:color="auto" w:fill="DEEAF6" w:themeFill="accent1" w:themeFillTint="33"/>
            <w:noWrap/>
            <w:vAlign w:val="bottom"/>
          </w:tcPr>
          <w:p w14:paraId="4ED671C7"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4</w:t>
            </w:r>
          </w:p>
        </w:tc>
        <w:tc>
          <w:tcPr>
            <w:tcW w:w="851" w:type="dxa"/>
            <w:shd w:val="clear" w:color="auto" w:fill="DEEAF6" w:themeFill="accent1" w:themeFillTint="33"/>
            <w:noWrap/>
            <w:vAlign w:val="bottom"/>
          </w:tcPr>
          <w:p w14:paraId="13D7CBDE"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5</w:t>
            </w:r>
          </w:p>
        </w:tc>
        <w:tc>
          <w:tcPr>
            <w:tcW w:w="851" w:type="dxa"/>
            <w:shd w:val="clear" w:color="auto" w:fill="DEEAF6" w:themeFill="accent1" w:themeFillTint="33"/>
            <w:noWrap/>
          </w:tcPr>
          <w:p w14:paraId="58B4BEB1" w14:textId="77777777" w:rsidR="00781CB8" w:rsidRDefault="00781CB8" w:rsidP="00EC7EDE">
            <w:pPr>
              <w:jc w:val="center"/>
            </w:pPr>
            <w:r>
              <w:t>1</w:t>
            </w:r>
          </w:p>
        </w:tc>
      </w:tr>
      <w:tr w:rsidR="00781CB8" w14:paraId="27690006" w14:textId="77777777" w:rsidTr="00EC7EDE">
        <w:trPr>
          <w:trHeight w:val="300"/>
          <w:jc w:val="center"/>
        </w:trPr>
        <w:tc>
          <w:tcPr>
            <w:tcW w:w="1567" w:type="dxa"/>
            <w:vMerge/>
            <w:shd w:val="clear" w:color="auto" w:fill="auto"/>
            <w:noWrap/>
            <w:vAlign w:val="bottom"/>
          </w:tcPr>
          <w:p w14:paraId="2992BBF5" w14:textId="77777777" w:rsidR="00781CB8" w:rsidRPr="00DD093D" w:rsidRDefault="00781CB8" w:rsidP="00EC7EDE">
            <w:pPr>
              <w:jc w:val="both"/>
              <w:rPr>
                <w:rFonts w:eastAsia="Times New Roman"/>
                <w:color w:val="000000"/>
                <w:lang w:eastAsia="ja-JP"/>
              </w:rPr>
            </w:pPr>
          </w:p>
        </w:tc>
        <w:tc>
          <w:tcPr>
            <w:tcW w:w="1044" w:type="dxa"/>
            <w:shd w:val="clear" w:color="auto" w:fill="EDEDED" w:themeFill="accent3" w:themeFillTint="33"/>
            <w:vAlign w:val="bottom"/>
          </w:tcPr>
          <w:p w14:paraId="7D4173B3"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2</w:t>
            </w:r>
          </w:p>
        </w:tc>
        <w:tc>
          <w:tcPr>
            <w:tcW w:w="853" w:type="dxa"/>
            <w:shd w:val="clear" w:color="auto" w:fill="DEEAF6" w:themeFill="accent1" w:themeFillTint="33"/>
            <w:noWrap/>
          </w:tcPr>
          <w:p w14:paraId="5300A817" w14:textId="77777777" w:rsidR="00781CB8" w:rsidRDefault="00781CB8" w:rsidP="00EC7EDE">
            <w:pPr>
              <w:jc w:val="center"/>
            </w:pPr>
            <w:r>
              <w:t>2</w:t>
            </w:r>
          </w:p>
        </w:tc>
        <w:tc>
          <w:tcPr>
            <w:tcW w:w="822" w:type="dxa"/>
            <w:shd w:val="clear" w:color="auto" w:fill="DEEAF6" w:themeFill="accent1" w:themeFillTint="33"/>
            <w:noWrap/>
            <w:vAlign w:val="bottom"/>
          </w:tcPr>
          <w:p w14:paraId="5B3D632E"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2</w:t>
            </w:r>
          </w:p>
        </w:tc>
        <w:tc>
          <w:tcPr>
            <w:tcW w:w="851" w:type="dxa"/>
            <w:tcBorders>
              <w:tl2br w:val="single" w:sz="4" w:space="0" w:color="000000"/>
            </w:tcBorders>
            <w:shd w:val="clear" w:color="auto" w:fill="FFFFFF" w:themeFill="background1"/>
            <w:noWrap/>
            <w:vAlign w:val="bottom"/>
          </w:tcPr>
          <w:p w14:paraId="5D12B9F8" w14:textId="77777777" w:rsidR="00781CB8" w:rsidRPr="00DD093D" w:rsidRDefault="00781CB8" w:rsidP="00EC7EDE">
            <w:pPr>
              <w:jc w:val="center"/>
              <w:rPr>
                <w:rFonts w:eastAsia="Times New Roman"/>
                <w:color w:val="000000"/>
                <w:lang w:eastAsia="ja-JP"/>
              </w:rPr>
            </w:pPr>
          </w:p>
        </w:tc>
        <w:tc>
          <w:tcPr>
            <w:tcW w:w="850" w:type="dxa"/>
            <w:shd w:val="clear" w:color="auto" w:fill="DEEAF6" w:themeFill="accent1" w:themeFillTint="33"/>
            <w:noWrap/>
            <w:vAlign w:val="bottom"/>
          </w:tcPr>
          <w:p w14:paraId="32754C44" w14:textId="77777777" w:rsidR="00781CB8" w:rsidRPr="00DD093D" w:rsidRDefault="00781CB8" w:rsidP="00EC7EDE">
            <w:pPr>
              <w:jc w:val="center"/>
              <w:rPr>
                <w:color w:val="000000"/>
                <w:lang w:eastAsia="zh-CN"/>
              </w:rPr>
            </w:pPr>
            <w:r>
              <w:rPr>
                <w:rFonts w:hint="eastAsia"/>
                <w:color w:val="000000"/>
                <w:lang w:eastAsia="zh-CN"/>
              </w:rPr>
              <w:t>5</w:t>
            </w:r>
          </w:p>
        </w:tc>
        <w:tc>
          <w:tcPr>
            <w:tcW w:w="881" w:type="dxa"/>
            <w:shd w:val="clear" w:color="auto" w:fill="DEEAF6" w:themeFill="accent1" w:themeFillTint="33"/>
            <w:noWrap/>
            <w:vAlign w:val="bottom"/>
          </w:tcPr>
          <w:p w14:paraId="58FB9921" w14:textId="77777777" w:rsidR="00781CB8" w:rsidRPr="00DD093D" w:rsidRDefault="00781CB8" w:rsidP="00EC7EDE">
            <w:pPr>
              <w:jc w:val="center"/>
              <w:rPr>
                <w:color w:val="000000"/>
                <w:lang w:eastAsia="zh-CN"/>
              </w:rPr>
            </w:pPr>
            <w:r>
              <w:rPr>
                <w:color w:val="000000"/>
                <w:lang w:eastAsia="zh-CN"/>
              </w:rPr>
              <w:t>5</w:t>
            </w:r>
          </w:p>
        </w:tc>
        <w:tc>
          <w:tcPr>
            <w:tcW w:w="851" w:type="dxa"/>
            <w:shd w:val="clear" w:color="auto" w:fill="DEEAF6" w:themeFill="accent1" w:themeFillTint="33"/>
            <w:noWrap/>
            <w:vAlign w:val="bottom"/>
          </w:tcPr>
          <w:p w14:paraId="472E6B51"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5</w:t>
            </w:r>
          </w:p>
        </w:tc>
        <w:tc>
          <w:tcPr>
            <w:tcW w:w="851" w:type="dxa"/>
            <w:shd w:val="clear" w:color="auto" w:fill="DEEAF6" w:themeFill="accent1" w:themeFillTint="33"/>
            <w:noWrap/>
          </w:tcPr>
          <w:p w14:paraId="5AD7E495" w14:textId="77777777" w:rsidR="00781CB8" w:rsidRDefault="00781CB8" w:rsidP="00EC7EDE">
            <w:pPr>
              <w:jc w:val="center"/>
            </w:pPr>
            <w:r>
              <w:t>2</w:t>
            </w:r>
          </w:p>
        </w:tc>
      </w:tr>
      <w:tr w:rsidR="00781CB8" w14:paraId="4C178738" w14:textId="77777777" w:rsidTr="00EC7EDE">
        <w:trPr>
          <w:trHeight w:val="300"/>
          <w:jc w:val="center"/>
        </w:trPr>
        <w:tc>
          <w:tcPr>
            <w:tcW w:w="1567" w:type="dxa"/>
            <w:vMerge/>
            <w:shd w:val="clear" w:color="auto" w:fill="auto"/>
            <w:noWrap/>
            <w:vAlign w:val="bottom"/>
          </w:tcPr>
          <w:p w14:paraId="02329C22" w14:textId="77777777" w:rsidR="00781CB8" w:rsidRPr="00DD093D" w:rsidRDefault="00781CB8" w:rsidP="00EC7EDE">
            <w:pPr>
              <w:jc w:val="both"/>
              <w:rPr>
                <w:rFonts w:eastAsia="Times New Roman"/>
                <w:color w:val="000000"/>
                <w:lang w:eastAsia="ja-JP"/>
              </w:rPr>
            </w:pPr>
          </w:p>
        </w:tc>
        <w:tc>
          <w:tcPr>
            <w:tcW w:w="1044" w:type="dxa"/>
            <w:shd w:val="clear" w:color="auto" w:fill="EDEDED" w:themeFill="accent3" w:themeFillTint="33"/>
            <w:vAlign w:val="bottom"/>
          </w:tcPr>
          <w:p w14:paraId="6A9C6F6F"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3</w:t>
            </w:r>
          </w:p>
        </w:tc>
        <w:tc>
          <w:tcPr>
            <w:tcW w:w="853" w:type="dxa"/>
            <w:shd w:val="clear" w:color="auto" w:fill="DEEAF6" w:themeFill="accent1" w:themeFillTint="33"/>
            <w:noWrap/>
          </w:tcPr>
          <w:p w14:paraId="0E6BE02D" w14:textId="77777777" w:rsidR="00781CB8" w:rsidRDefault="00781CB8" w:rsidP="00EC7EDE">
            <w:pPr>
              <w:jc w:val="center"/>
            </w:pPr>
            <w:r>
              <w:t>3</w:t>
            </w:r>
          </w:p>
        </w:tc>
        <w:tc>
          <w:tcPr>
            <w:tcW w:w="822" w:type="dxa"/>
            <w:shd w:val="clear" w:color="auto" w:fill="DEEAF6" w:themeFill="accent1" w:themeFillTint="33"/>
            <w:noWrap/>
            <w:vAlign w:val="bottom"/>
          </w:tcPr>
          <w:p w14:paraId="5B83E993" w14:textId="77777777" w:rsidR="00781CB8" w:rsidRPr="00DD093D" w:rsidRDefault="00781CB8" w:rsidP="00EC7EDE">
            <w:pPr>
              <w:jc w:val="center"/>
              <w:rPr>
                <w:color w:val="000000"/>
                <w:lang w:eastAsia="zh-CN"/>
              </w:rPr>
            </w:pPr>
            <w:r>
              <w:rPr>
                <w:rFonts w:hint="eastAsia"/>
                <w:color w:val="000000"/>
                <w:lang w:eastAsia="zh-CN"/>
              </w:rPr>
              <w:t>4</w:t>
            </w:r>
          </w:p>
        </w:tc>
        <w:tc>
          <w:tcPr>
            <w:tcW w:w="851" w:type="dxa"/>
            <w:shd w:val="clear" w:color="auto" w:fill="DEEAF6" w:themeFill="accent1" w:themeFillTint="33"/>
            <w:noWrap/>
            <w:vAlign w:val="bottom"/>
          </w:tcPr>
          <w:p w14:paraId="6EA49453" w14:textId="77777777" w:rsidR="00781CB8" w:rsidRPr="00DD093D" w:rsidRDefault="00781CB8" w:rsidP="00EC7EDE">
            <w:pPr>
              <w:jc w:val="center"/>
              <w:rPr>
                <w:color w:val="000000"/>
                <w:lang w:eastAsia="zh-CN"/>
              </w:rPr>
            </w:pPr>
            <w:r>
              <w:rPr>
                <w:rFonts w:hint="eastAsia"/>
                <w:color w:val="000000"/>
                <w:lang w:eastAsia="zh-CN"/>
              </w:rPr>
              <w:t>5</w:t>
            </w:r>
          </w:p>
        </w:tc>
        <w:tc>
          <w:tcPr>
            <w:tcW w:w="850" w:type="dxa"/>
            <w:tcBorders>
              <w:tl2br w:val="single" w:sz="4" w:space="0" w:color="000000"/>
            </w:tcBorders>
            <w:shd w:val="clear" w:color="auto" w:fill="FFFFFF" w:themeFill="background1"/>
            <w:noWrap/>
            <w:vAlign w:val="bottom"/>
          </w:tcPr>
          <w:p w14:paraId="3ADB31E2" w14:textId="77777777" w:rsidR="00781CB8" w:rsidRPr="00DD093D" w:rsidRDefault="00781CB8" w:rsidP="00EC7EDE">
            <w:pPr>
              <w:jc w:val="center"/>
              <w:rPr>
                <w:rFonts w:eastAsia="Times New Roman"/>
                <w:color w:val="000000"/>
                <w:lang w:eastAsia="ja-JP"/>
              </w:rPr>
            </w:pPr>
          </w:p>
        </w:tc>
        <w:tc>
          <w:tcPr>
            <w:tcW w:w="881" w:type="dxa"/>
            <w:shd w:val="clear" w:color="auto" w:fill="DEEAF6" w:themeFill="accent1" w:themeFillTint="33"/>
            <w:noWrap/>
            <w:vAlign w:val="bottom"/>
          </w:tcPr>
          <w:p w14:paraId="06157D27"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4</w:t>
            </w:r>
          </w:p>
        </w:tc>
        <w:tc>
          <w:tcPr>
            <w:tcW w:w="851" w:type="dxa"/>
            <w:shd w:val="clear" w:color="auto" w:fill="DEEAF6" w:themeFill="accent1" w:themeFillTint="33"/>
            <w:noWrap/>
            <w:vAlign w:val="bottom"/>
          </w:tcPr>
          <w:p w14:paraId="016EF0AD"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5</w:t>
            </w:r>
          </w:p>
        </w:tc>
        <w:tc>
          <w:tcPr>
            <w:tcW w:w="851" w:type="dxa"/>
            <w:shd w:val="clear" w:color="auto" w:fill="DEEAF6" w:themeFill="accent1" w:themeFillTint="33"/>
            <w:noWrap/>
          </w:tcPr>
          <w:p w14:paraId="1813D678" w14:textId="77777777" w:rsidR="00781CB8" w:rsidRDefault="00781CB8" w:rsidP="00EC7EDE">
            <w:pPr>
              <w:jc w:val="center"/>
            </w:pPr>
            <w:r>
              <w:t>3</w:t>
            </w:r>
          </w:p>
        </w:tc>
      </w:tr>
      <w:tr w:rsidR="00781CB8" w14:paraId="64F3136B" w14:textId="77777777" w:rsidTr="00EC7EDE">
        <w:trPr>
          <w:trHeight w:val="300"/>
          <w:jc w:val="center"/>
        </w:trPr>
        <w:tc>
          <w:tcPr>
            <w:tcW w:w="1567" w:type="dxa"/>
            <w:vMerge/>
            <w:shd w:val="clear" w:color="auto" w:fill="auto"/>
            <w:noWrap/>
            <w:vAlign w:val="bottom"/>
          </w:tcPr>
          <w:p w14:paraId="3DAB5B94" w14:textId="77777777" w:rsidR="00781CB8" w:rsidRPr="00DD093D" w:rsidRDefault="00781CB8" w:rsidP="00EC7EDE">
            <w:pPr>
              <w:jc w:val="both"/>
              <w:rPr>
                <w:rFonts w:eastAsia="Times New Roman"/>
                <w:color w:val="000000"/>
                <w:lang w:eastAsia="ja-JP"/>
              </w:rPr>
            </w:pPr>
          </w:p>
        </w:tc>
        <w:tc>
          <w:tcPr>
            <w:tcW w:w="1044" w:type="dxa"/>
            <w:shd w:val="clear" w:color="auto" w:fill="EDEDED" w:themeFill="accent3" w:themeFillTint="33"/>
            <w:vAlign w:val="bottom"/>
          </w:tcPr>
          <w:p w14:paraId="71E51208"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4</w:t>
            </w:r>
          </w:p>
        </w:tc>
        <w:tc>
          <w:tcPr>
            <w:tcW w:w="853" w:type="dxa"/>
            <w:shd w:val="clear" w:color="auto" w:fill="DEEAF6" w:themeFill="accent1" w:themeFillTint="33"/>
            <w:noWrap/>
          </w:tcPr>
          <w:p w14:paraId="7BF1B1DE" w14:textId="77777777" w:rsidR="00781CB8" w:rsidRDefault="00781CB8" w:rsidP="00EC7EDE">
            <w:pPr>
              <w:jc w:val="center"/>
            </w:pPr>
            <w:r>
              <w:t>4</w:t>
            </w:r>
          </w:p>
        </w:tc>
        <w:tc>
          <w:tcPr>
            <w:tcW w:w="822" w:type="dxa"/>
            <w:shd w:val="clear" w:color="auto" w:fill="DEEAF6" w:themeFill="accent1" w:themeFillTint="33"/>
            <w:noWrap/>
            <w:vAlign w:val="bottom"/>
          </w:tcPr>
          <w:p w14:paraId="02418052"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4</w:t>
            </w:r>
          </w:p>
        </w:tc>
        <w:tc>
          <w:tcPr>
            <w:tcW w:w="851" w:type="dxa"/>
            <w:shd w:val="clear" w:color="auto" w:fill="DEEAF6" w:themeFill="accent1" w:themeFillTint="33"/>
            <w:noWrap/>
            <w:vAlign w:val="bottom"/>
          </w:tcPr>
          <w:p w14:paraId="25E48835" w14:textId="77777777" w:rsidR="00781CB8" w:rsidRPr="00DD093D" w:rsidRDefault="00781CB8" w:rsidP="00EC7EDE">
            <w:pPr>
              <w:jc w:val="center"/>
              <w:rPr>
                <w:color w:val="000000"/>
                <w:lang w:eastAsia="zh-CN"/>
              </w:rPr>
            </w:pPr>
            <w:r>
              <w:rPr>
                <w:rFonts w:hint="eastAsia"/>
                <w:color w:val="000000"/>
                <w:lang w:eastAsia="zh-CN"/>
              </w:rPr>
              <w:t>5</w:t>
            </w:r>
          </w:p>
        </w:tc>
        <w:tc>
          <w:tcPr>
            <w:tcW w:w="850" w:type="dxa"/>
            <w:shd w:val="clear" w:color="auto" w:fill="DEEAF6" w:themeFill="accent1" w:themeFillTint="33"/>
            <w:noWrap/>
            <w:vAlign w:val="bottom"/>
          </w:tcPr>
          <w:p w14:paraId="4B4A187F"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4</w:t>
            </w:r>
          </w:p>
        </w:tc>
        <w:tc>
          <w:tcPr>
            <w:tcW w:w="881" w:type="dxa"/>
            <w:tcBorders>
              <w:tl2br w:val="single" w:sz="4" w:space="0" w:color="000000"/>
            </w:tcBorders>
            <w:shd w:val="clear" w:color="auto" w:fill="FFFFFF" w:themeFill="background1"/>
            <w:noWrap/>
            <w:vAlign w:val="bottom"/>
          </w:tcPr>
          <w:p w14:paraId="749A964D" w14:textId="77777777" w:rsidR="00781CB8" w:rsidRPr="00DD093D" w:rsidRDefault="00781CB8" w:rsidP="00EC7EDE">
            <w:pPr>
              <w:jc w:val="center"/>
              <w:rPr>
                <w:rFonts w:eastAsia="Times New Roman"/>
                <w:color w:val="000000"/>
                <w:lang w:eastAsia="ja-JP"/>
              </w:rPr>
            </w:pPr>
          </w:p>
        </w:tc>
        <w:tc>
          <w:tcPr>
            <w:tcW w:w="851" w:type="dxa"/>
            <w:shd w:val="clear" w:color="auto" w:fill="DEEAF6" w:themeFill="accent1" w:themeFillTint="33"/>
            <w:noWrap/>
            <w:vAlign w:val="bottom"/>
          </w:tcPr>
          <w:p w14:paraId="698503D4"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5</w:t>
            </w:r>
          </w:p>
        </w:tc>
        <w:tc>
          <w:tcPr>
            <w:tcW w:w="851" w:type="dxa"/>
            <w:shd w:val="clear" w:color="auto" w:fill="DEEAF6" w:themeFill="accent1" w:themeFillTint="33"/>
            <w:noWrap/>
          </w:tcPr>
          <w:p w14:paraId="2EF0BF99" w14:textId="77777777" w:rsidR="00781CB8" w:rsidRDefault="00781CB8" w:rsidP="00EC7EDE">
            <w:pPr>
              <w:jc w:val="center"/>
            </w:pPr>
            <w:r>
              <w:t>4</w:t>
            </w:r>
          </w:p>
        </w:tc>
      </w:tr>
      <w:tr w:rsidR="00781CB8" w14:paraId="7730783F" w14:textId="77777777" w:rsidTr="00EC7EDE">
        <w:trPr>
          <w:trHeight w:val="300"/>
          <w:jc w:val="center"/>
        </w:trPr>
        <w:tc>
          <w:tcPr>
            <w:tcW w:w="1567" w:type="dxa"/>
            <w:vMerge/>
            <w:shd w:val="clear" w:color="auto" w:fill="auto"/>
            <w:noWrap/>
            <w:vAlign w:val="bottom"/>
          </w:tcPr>
          <w:p w14:paraId="5C3CCA9C" w14:textId="77777777" w:rsidR="00781CB8" w:rsidRPr="00DD093D" w:rsidRDefault="00781CB8" w:rsidP="00EC7EDE">
            <w:pPr>
              <w:jc w:val="both"/>
              <w:rPr>
                <w:rFonts w:eastAsia="Times New Roman"/>
                <w:color w:val="000000"/>
                <w:lang w:eastAsia="ja-JP"/>
              </w:rPr>
            </w:pPr>
          </w:p>
        </w:tc>
        <w:tc>
          <w:tcPr>
            <w:tcW w:w="1044" w:type="dxa"/>
            <w:tcBorders>
              <w:top w:val="single" w:sz="4" w:space="0" w:color="auto"/>
            </w:tcBorders>
            <w:shd w:val="clear" w:color="auto" w:fill="EDEDED" w:themeFill="accent3" w:themeFillTint="33"/>
            <w:vAlign w:val="bottom"/>
          </w:tcPr>
          <w:p w14:paraId="23359B3D"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5</w:t>
            </w:r>
          </w:p>
        </w:tc>
        <w:tc>
          <w:tcPr>
            <w:tcW w:w="853" w:type="dxa"/>
            <w:tcBorders>
              <w:top w:val="single" w:sz="4" w:space="0" w:color="auto"/>
            </w:tcBorders>
            <w:shd w:val="clear" w:color="auto" w:fill="DEEAF6" w:themeFill="accent1" w:themeFillTint="33"/>
            <w:noWrap/>
          </w:tcPr>
          <w:p w14:paraId="5A914175" w14:textId="77777777" w:rsidR="00781CB8" w:rsidRDefault="00781CB8" w:rsidP="00EC7EDE">
            <w:pPr>
              <w:jc w:val="center"/>
            </w:pPr>
            <w:r>
              <w:t>5</w:t>
            </w:r>
          </w:p>
        </w:tc>
        <w:tc>
          <w:tcPr>
            <w:tcW w:w="822" w:type="dxa"/>
            <w:tcBorders>
              <w:top w:val="single" w:sz="4" w:space="0" w:color="auto"/>
            </w:tcBorders>
            <w:shd w:val="clear" w:color="auto" w:fill="DEEAF6" w:themeFill="accent1" w:themeFillTint="33"/>
            <w:noWrap/>
          </w:tcPr>
          <w:p w14:paraId="11891E97" w14:textId="77777777" w:rsidR="00781CB8" w:rsidRDefault="00781CB8" w:rsidP="00EC7EDE">
            <w:pPr>
              <w:jc w:val="center"/>
            </w:pPr>
            <w:r>
              <w:t>5</w:t>
            </w:r>
          </w:p>
        </w:tc>
        <w:tc>
          <w:tcPr>
            <w:tcW w:w="851" w:type="dxa"/>
            <w:tcBorders>
              <w:top w:val="single" w:sz="4" w:space="0" w:color="auto"/>
            </w:tcBorders>
            <w:shd w:val="clear" w:color="auto" w:fill="DEEAF6" w:themeFill="accent1" w:themeFillTint="33"/>
            <w:noWrap/>
          </w:tcPr>
          <w:p w14:paraId="54674EB6" w14:textId="77777777" w:rsidR="00781CB8" w:rsidRDefault="00781CB8" w:rsidP="00EC7EDE">
            <w:pPr>
              <w:jc w:val="center"/>
            </w:pPr>
            <w:r>
              <w:t>5</w:t>
            </w:r>
          </w:p>
        </w:tc>
        <w:tc>
          <w:tcPr>
            <w:tcW w:w="850" w:type="dxa"/>
            <w:tcBorders>
              <w:top w:val="single" w:sz="4" w:space="0" w:color="auto"/>
            </w:tcBorders>
            <w:shd w:val="clear" w:color="auto" w:fill="DEEAF6" w:themeFill="accent1" w:themeFillTint="33"/>
            <w:noWrap/>
          </w:tcPr>
          <w:p w14:paraId="1A437D60" w14:textId="77777777" w:rsidR="00781CB8" w:rsidRDefault="00781CB8" w:rsidP="00EC7EDE">
            <w:pPr>
              <w:jc w:val="center"/>
            </w:pPr>
            <w:r>
              <w:t>5</w:t>
            </w:r>
          </w:p>
        </w:tc>
        <w:tc>
          <w:tcPr>
            <w:tcW w:w="881" w:type="dxa"/>
            <w:tcBorders>
              <w:top w:val="single" w:sz="4" w:space="0" w:color="auto"/>
            </w:tcBorders>
            <w:shd w:val="clear" w:color="auto" w:fill="DEEAF6" w:themeFill="accent1" w:themeFillTint="33"/>
            <w:noWrap/>
          </w:tcPr>
          <w:p w14:paraId="2A2D9CE0" w14:textId="77777777" w:rsidR="00781CB8" w:rsidRDefault="00781CB8" w:rsidP="00EC7EDE">
            <w:pPr>
              <w:jc w:val="center"/>
            </w:pPr>
            <w:r>
              <w:t>5</w:t>
            </w:r>
          </w:p>
        </w:tc>
        <w:tc>
          <w:tcPr>
            <w:tcW w:w="851" w:type="dxa"/>
            <w:tcBorders>
              <w:top w:val="single" w:sz="4" w:space="0" w:color="auto"/>
              <w:tl2br w:val="single" w:sz="4" w:space="0" w:color="000000"/>
            </w:tcBorders>
            <w:shd w:val="clear" w:color="auto" w:fill="FFFFFF" w:themeFill="background1"/>
            <w:noWrap/>
            <w:vAlign w:val="bottom"/>
          </w:tcPr>
          <w:p w14:paraId="32E7FE6A" w14:textId="77777777" w:rsidR="00781CB8" w:rsidRPr="00DD093D" w:rsidRDefault="00781CB8" w:rsidP="00EC7EDE">
            <w:pPr>
              <w:jc w:val="center"/>
              <w:rPr>
                <w:rFonts w:eastAsia="Times New Roman"/>
                <w:color w:val="000000"/>
                <w:lang w:eastAsia="ja-JP"/>
              </w:rPr>
            </w:pPr>
          </w:p>
        </w:tc>
        <w:tc>
          <w:tcPr>
            <w:tcW w:w="851" w:type="dxa"/>
            <w:tcBorders>
              <w:top w:val="single" w:sz="4" w:space="0" w:color="auto"/>
            </w:tcBorders>
            <w:shd w:val="clear" w:color="auto" w:fill="DEEAF6" w:themeFill="accent1" w:themeFillTint="33"/>
            <w:noWrap/>
          </w:tcPr>
          <w:p w14:paraId="0917F576" w14:textId="77777777" w:rsidR="00781CB8" w:rsidRDefault="00781CB8" w:rsidP="00EC7EDE">
            <w:pPr>
              <w:jc w:val="center"/>
            </w:pPr>
            <w:r>
              <w:t>5</w:t>
            </w:r>
          </w:p>
        </w:tc>
      </w:tr>
      <w:tr w:rsidR="00781CB8" w:rsidRPr="00DD093D" w14:paraId="635B7897" w14:textId="77777777" w:rsidTr="00EC7EDE">
        <w:trPr>
          <w:trHeight w:val="300"/>
          <w:jc w:val="center"/>
        </w:trPr>
        <w:tc>
          <w:tcPr>
            <w:tcW w:w="1567" w:type="dxa"/>
            <w:vMerge/>
            <w:shd w:val="clear" w:color="auto" w:fill="auto"/>
            <w:noWrap/>
            <w:vAlign w:val="bottom"/>
          </w:tcPr>
          <w:p w14:paraId="1981F490" w14:textId="77777777" w:rsidR="00781CB8" w:rsidRPr="00DD093D" w:rsidRDefault="00781CB8" w:rsidP="00EC7EDE">
            <w:pPr>
              <w:jc w:val="both"/>
              <w:rPr>
                <w:rFonts w:eastAsia="Times New Roman"/>
                <w:color w:val="000000"/>
                <w:lang w:eastAsia="ja-JP"/>
              </w:rPr>
            </w:pPr>
          </w:p>
        </w:tc>
        <w:tc>
          <w:tcPr>
            <w:tcW w:w="1044" w:type="dxa"/>
            <w:shd w:val="clear" w:color="auto" w:fill="EDEDED" w:themeFill="accent3" w:themeFillTint="33"/>
            <w:vAlign w:val="bottom"/>
          </w:tcPr>
          <w:p w14:paraId="298FEC8A"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6</w:t>
            </w:r>
          </w:p>
        </w:tc>
        <w:tc>
          <w:tcPr>
            <w:tcW w:w="853" w:type="dxa"/>
            <w:shd w:val="clear" w:color="auto" w:fill="DEEAF6" w:themeFill="accent1" w:themeFillTint="33"/>
            <w:noWrap/>
          </w:tcPr>
          <w:p w14:paraId="117234C4" w14:textId="77777777" w:rsidR="00781CB8" w:rsidRDefault="00781CB8" w:rsidP="00EC7EDE">
            <w:pPr>
              <w:jc w:val="center"/>
            </w:pPr>
            <w:r>
              <w:t>6</w:t>
            </w:r>
          </w:p>
        </w:tc>
        <w:tc>
          <w:tcPr>
            <w:tcW w:w="822" w:type="dxa"/>
            <w:shd w:val="clear" w:color="auto" w:fill="DEEAF6" w:themeFill="accent1" w:themeFillTint="33"/>
            <w:noWrap/>
            <w:vAlign w:val="bottom"/>
          </w:tcPr>
          <w:p w14:paraId="655EF361" w14:textId="77777777" w:rsidR="00781CB8" w:rsidRPr="00DD093D" w:rsidRDefault="00781CB8" w:rsidP="00EC7EDE">
            <w:pPr>
              <w:jc w:val="center"/>
              <w:rPr>
                <w:color w:val="000000"/>
                <w:lang w:eastAsia="zh-CN"/>
              </w:rPr>
            </w:pPr>
            <w:r>
              <w:rPr>
                <w:color w:val="000000"/>
                <w:lang w:eastAsia="zh-CN"/>
              </w:rPr>
              <w:t>1</w:t>
            </w:r>
          </w:p>
        </w:tc>
        <w:tc>
          <w:tcPr>
            <w:tcW w:w="851" w:type="dxa"/>
            <w:shd w:val="clear" w:color="auto" w:fill="DEEAF6" w:themeFill="accent1" w:themeFillTint="33"/>
            <w:noWrap/>
            <w:vAlign w:val="bottom"/>
          </w:tcPr>
          <w:p w14:paraId="06ABC894"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2</w:t>
            </w:r>
          </w:p>
        </w:tc>
        <w:tc>
          <w:tcPr>
            <w:tcW w:w="850" w:type="dxa"/>
            <w:shd w:val="clear" w:color="auto" w:fill="DEEAF6" w:themeFill="accent1" w:themeFillTint="33"/>
            <w:noWrap/>
            <w:vAlign w:val="bottom"/>
          </w:tcPr>
          <w:p w14:paraId="073A7E4E"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3</w:t>
            </w:r>
          </w:p>
        </w:tc>
        <w:tc>
          <w:tcPr>
            <w:tcW w:w="881" w:type="dxa"/>
            <w:shd w:val="clear" w:color="auto" w:fill="DEEAF6" w:themeFill="accent1" w:themeFillTint="33"/>
            <w:noWrap/>
            <w:vAlign w:val="bottom"/>
          </w:tcPr>
          <w:p w14:paraId="6A0C3413"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4</w:t>
            </w:r>
          </w:p>
        </w:tc>
        <w:tc>
          <w:tcPr>
            <w:tcW w:w="851" w:type="dxa"/>
            <w:shd w:val="clear" w:color="auto" w:fill="DEEAF6" w:themeFill="accent1" w:themeFillTint="33"/>
            <w:noWrap/>
            <w:vAlign w:val="bottom"/>
          </w:tcPr>
          <w:p w14:paraId="7136B084"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5</w:t>
            </w:r>
          </w:p>
        </w:tc>
        <w:tc>
          <w:tcPr>
            <w:tcW w:w="851" w:type="dxa"/>
            <w:tcBorders>
              <w:tl2br w:val="single" w:sz="4" w:space="0" w:color="000000"/>
            </w:tcBorders>
            <w:shd w:val="clear" w:color="auto" w:fill="FFFFFF" w:themeFill="background1"/>
            <w:noWrap/>
            <w:vAlign w:val="bottom"/>
          </w:tcPr>
          <w:p w14:paraId="5A1E9C35" w14:textId="77777777" w:rsidR="00781CB8" w:rsidRPr="00DD093D" w:rsidRDefault="00781CB8" w:rsidP="00EC7EDE">
            <w:pPr>
              <w:jc w:val="center"/>
              <w:rPr>
                <w:rFonts w:eastAsia="Times New Roman"/>
                <w:color w:val="000000"/>
                <w:lang w:eastAsia="ja-JP"/>
              </w:rPr>
            </w:pPr>
          </w:p>
        </w:tc>
      </w:tr>
    </w:tbl>
    <w:p w14:paraId="35C60DF9" w14:textId="36CC105A" w:rsidR="00781CB8" w:rsidRDefault="00781CB8" w:rsidP="00781CB8">
      <w:pPr>
        <w:rPr>
          <w:b/>
        </w:rPr>
      </w:pPr>
    </w:p>
    <w:p w14:paraId="4D9C2CAE" w14:textId="1DBE5D8F" w:rsidR="00781CB8" w:rsidRPr="00781CB8" w:rsidRDefault="00BF469E" w:rsidP="00BF469E">
      <w:pPr>
        <w:jc w:val="both"/>
      </w:pPr>
      <w:r>
        <w:t xml:space="preserve">More specifically, if the </w:t>
      </w:r>
      <w:proofErr w:type="spellStart"/>
      <w:r>
        <w:t>Pcell</w:t>
      </w:r>
      <w:proofErr w:type="spellEnd"/>
      <w:r>
        <w:t xml:space="preserve"> is FDD, the DL HARQ timing of a TDD </w:t>
      </w:r>
      <w:proofErr w:type="spellStart"/>
      <w:r>
        <w:t>Scell</w:t>
      </w:r>
      <w:proofErr w:type="spellEnd"/>
      <w:r>
        <w:t xml:space="preserve"> is given by its own SIB-1 configuration and the DL HARQ reference configuration of the </w:t>
      </w:r>
      <w:proofErr w:type="spellStart"/>
      <w:r>
        <w:t>Pcell</w:t>
      </w:r>
      <w:proofErr w:type="spellEnd"/>
      <w:r>
        <w:t xml:space="preserve"> using the table above. If the </w:t>
      </w:r>
      <w:proofErr w:type="spellStart"/>
      <w:r>
        <w:t>Pcell</w:t>
      </w:r>
      <w:proofErr w:type="spellEnd"/>
      <w:r>
        <w:t xml:space="preserve"> is TDD, s</w:t>
      </w:r>
      <w:r w:rsidR="00A91E3B">
        <w:t xml:space="preserve">ince only DL/UL configurations </w:t>
      </w:r>
      <w:r>
        <w:t xml:space="preserve">2, 4 and 5 can be used as a reference configuration of the </w:t>
      </w:r>
      <w:proofErr w:type="spellStart"/>
      <w:r>
        <w:t>Pcell</w:t>
      </w:r>
      <w:proofErr w:type="spellEnd"/>
      <w:r>
        <w:t>, the ti</w:t>
      </w:r>
      <w:r w:rsidR="00A91E3B">
        <w:t xml:space="preserve">ming of the TDD </w:t>
      </w:r>
      <w:proofErr w:type="spellStart"/>
      <w:r w:rsidR="00A91E3B">
        <w:t>Scell</w:t>
      </w:r>
      <w:proofErr w:type="spellEnd"/>
      <w:r w:rsidR="00A91E3B">
        <w:t xml:space="preserve"> is restricted to the columns of the table associated with configuration 2, 4 or 5 for the </w:t>
      </w:r>
      <w:proofErr w:type="spellStart"/>
      <w:r w:rsidR="00A91E3B">
        <w:t>Pcell</w:t>
      </w:r>
      <w:proofErr w:type="spellEnd"/>
      <w:r w:rsidR="00A91E3B">
        <w:t xml:space="preserve">. </w:t>
      </w:r>
      <w:r w:rsidR="00781CB8">
        <w:t>An example of this operation is shown in Figure 3 for the case of LTE-TDD CA.</w:t>
      </w:r>
    </w:p>
    <w:p w14:paraId="440A8D20" w14:textId="5B32D8F7" w:rsidR="00781CB8" w:rsidRDefault="00086AD4" w:rsidP="00781CB8">
      <w:pPr>
        <w:keepNext/>
        <w:jc w:val="center"/>
      </w:pPr>
      <w:r>
        <w:object w:dxaOrig="20355" w:dyaOrig="5258" w14:anchorId="164872A4">
          <v:shape id="_x0000_i1026" type="#_x0000_t75" style="width:497.55pt;height:128.4pt" o:ole="">
            <v:imagedata r:id="rId15" o:title=""/>
          </v:shape>
          <o:OLEObject Type="Embed" ProgID="Visio.Drawing.15" ShapeID="_x0000_i1026" DrawAspect="Content" ObjectID="_1611773616" r:id="rId16"/>
        </w:object>
      </w:r>
    </w:p>
    <w:p w14:paraId="3E7C04AC" w14:textId="7FE6ADF3" w:rsidR="00781CB8" w:rsidRDefault="00781CB8" w:rsidP="00781CB8">
      <w:pPr>
        <w:pStyle w:val="Caption"/>
        <w:jc w:val="center"/>
      </w:pPr>
      <w:r>
        <w:t xml:space="preserve">Figure </w:t>
      </w:r>
      <w:r w:rsidR="008C6BC6">
        <w:rPr>
          <w:noProof/>
        </w:rPr>
        <w:fldChar w:fldCharType="begin"/>
      </w:r>
      <w:r w:rsidR="008C6BC6">
        <w:rPr>
          <w:noProof/>
        </w:rPr>
        <w:instrText xml:space="preserve"> SEQ Figure \* ARABIC </w:instrText>
      </w:r>
      <w:r w:rsidR="008C6BC6">
        <w:rPr>
          <w:noProof/>
        </w:rPr>
        <w:fldChar w:fldCharType="separate"/>
      </w:r>
      <w:r>
        <w:rPr>
          <w:noProof/>
        </w:rPr>
        <w:t>3</w:t>
      </w:r>
      <w:r w:rsidR="008C6BC6">
        <w:rPr>
          <w:noProof/>
        </w:rPr>
        <w:fldChar w:fldCharType="end"/>
      </w:r>
      <w:r>
        <w:t>: An example of downlink HARQ timing for LTE-TDD CA under EN-DC.</w:t>
      </w:r>
    </w:p>
    <w:p w14:paraId="4FAC322C" w14:textId="77777777" w:rsidR="00892314" w:rsidRPr="00892314" w:rsidRDefault="00892314" w:rsidP="00892314"/>
    <w:p w14:paraId="08556E9B" w14:textId="49CB0AEB" w:rsidR="003C0D10" w:rsidRDefault="003C0D10" w:rsidP="003C0D10">
      <w:pPr>
        <w:jc w:val="both"/>
      </w:pPr>
      <w:r>
        <w:t xml:space="preserve">In this example, the TDD </w:t>
      </w:r>
      <w:proofErr w:type="spellStart"/>
      <w:r>
        <w:t>Pcell</w:t>
      </w:r>
      <w:proofErr w:type="spellEnd"/>
      <w:r>
        <w:t xml:space="preserve"> has the SIB1 DL/UL configura</w:t>
      </w:r>
      <w:r w:rsidR="00A91E3B">
        <w:t>tion #3. According to Proposal 2</w:t>
      </w:r>
      <w:r>
        <w:t xml:space="preserve">, for downlink HARQ timing, the </w:t>
      </w:r>
      <w:proofErr w:type="spellStart"/>
      <w:r>
        <w:t>Pcell</w:t>
      </w:r>
      <w:proofErr w:type="spellEnd"/>
      <w:r>
        <w:t xml:space="preserve"> is additionally configured with a reference DL/UL </w:t>
      </w:r>
      <w:proofErr w:type="spellStart"/>
      <w:r>
        <w:t>confgiration</w:t>
      </w:r>
      <w:proofErr w:type="spellEnd"/>
      <w:r>
        <w:t xml:space="preserve"> #4. Hence, on the </w:t>
      </w:r>
      <w:proofErr w:type="spellStart"/>
      <w:r>
        <w:t>Pcell</w:t>
      </w:r>
      <w:proofErr w:type="spellEnd"/>
      <w:r>
        <w:t xml:space="preserve">, the HARQ timing is given by TDD configuration #4. The secondary serving cell has the SIB1 DL/UL configuration #2. Hence, its DL HARQ timing </w:t>
      </w:r>
      <w:r>
        <w:lastRenderedPageBreak/>
        <w:t xml:space="preserve">reference is given by the pair of configuration #2 and #4 (which is configured for the </w:t>
      </w:r>
      <w:proofErr w:type="spellStart"/>
      <w:r>
        <w:t>Pcell</w:t>
      </w:r>
      <w:proofErr w:type="spellEnd"/>
      <w:r>
        <w:t xml:space="preserve"> by RRC.) As a result, according to Table 1, the downlink HARQ timing of the secondary cell is based on the TDD DL/UL configuration #3.</w:t>
      </w:r>
      <w:r w:rsidR="00FF2F30">
        <w:t xml:space="preserve"> As further can be seen from this example, all LTE downlink subframes on both serving cells can be used for LTE data transmission. The LTE HARQ-ACK reporting is also limited to subframes 2 and 3 of each frame. </w:t>
      </w:r>
    </w:p>
    <w:p w14:paraId="58CE8C54" w14:textId="462DA5EF" w:rsidR="003D3EBB" w:rsidRPr="00FF2F30" w:rsidRDefault="003D3EBB" w:rsidP="003D3EBB">
      <w:pPr>
        <w:jc w:val="both"/>
        <w:rPr>
          <w:b/>
        </w:rPr>
      </w:pPr>
      <w:r w:rsidRPr="00FF2F30">
        <w:rPr>
          <w:b/>
        </w:rPr>
        <w:t>Pro</w:t>
      </w:r>
      <w:r>
        <w:rPr>
          <w:b/>
        </w:rPr>
        <w:t xml:space="preserve">posal </w:t>
      </w:r>
      <w:r w:rsidR="009E67C3">
        <w:rPr>
          <w:b/>
        </w:rPr>
        <w:t>4</w:t>
      </w:r>
      <w:r w:rsidRPr="00FF2F30">
        <w:rPr>
          <w:b/>
        </w:rPr>
        <w:t xml:space="preserve">: For a UE configured with EN-DC and more than one </w:t>
      </w:r>
      <w:r>
        <w:rPr>
          <w:b/>
        </w:rPr>
        <w:t xml:space="preserve">DL </w:t>
      </w:r>
      <w:r w:rsidRPr="00FF2F30">
        <w:rPr>
          <w:b/>
        </w:rPr>
        <w:t>LTE serving cell:</w:t>
      </w:r>
    </w:p>
    <w:p w14:paraId="06EA5F2A" w14:textId="77777777" w:rsidR="003D3EBB" w:rsidRPr="00FF2F30" w:rsidRDefault="003D3EBB" w:rsidP="008C6BC6">
      <w:pPr>
        <w:pStyle w:val="ListParagraph"/>
        <w:numPr>
          <w:ilvl w:val="0"/>
          <w:numId w:val="6"/>
        </w:numPr>
        <w:jc w:val="both"/>
        <w:rPr>
          <w:rFonts w:ascii="Times New Roman" w:hAnsi="Times New Roman"/>
          <w:b/>
          <w:sz w:val="20"/>
        </w:rPr>
      </w:pPr>
      <w:r w:rsidRPr="00FF2F30">
        <w:rPr>
          <w:rFonts w:ascii="Times New Roman" w:hAnsi="Times New Roman"/>
          <w:b/>
          <w:sz w:val="20"/>
        </w:rPr>
        <w:t xml:space="preserve">The downlink HARQ timing reference configuration of the FDD secondary cell is the RRC DL/UL configuration of the </w:t>
      </w:r>
      <w:proofErr w:type="spellStart"/>
      <w:r w:rsidRPr="00FF2F30">
        <w:rPr>
          <w:rFonts w:ascii="Times New Roman" w:hAnsi="Times New Roman"/>
          <w:b/>
          <w:sz w:val="20"/>
        </w:rPr>
        <w:t>Pcell</w:t>
      </w:r>
      <w:proofErr w:type="spellEnd"/>
      <w:r w:rsidRPr="00FF2F30">
        <w:rPr>
          <w:rFonts w:ascii="Times New Roman" w:hAnsi="Times New Roman"/>
          <w:b/>
          <w:sz w:val="20"/>
        </w:rPr>
        <w:t>.</w:t>
      </w:r>
    </w:p>
    <w:p w14:paraId="5E9F7A61" w14:textId="1FAFC1D9" w:rsidR="00FF2F30" w:rsidRPr="003D3EBB" w:rsidRDefault="003D3EBB" w:rsidP="008C6BC6">
      <w:pPr>
        <w:pStyle w:val="ListParagraph"/>
        <w:numPr>
          <w:ilvl w:val="0"/>
          <w:numId w:val="6"/>
        </w:numPr>
        <w:jc w:val="both"/>
        <w:rPr>
          <w:rFonts w:ascii="Times New Roman" w:hAnsi="Times New Roman"/>
          <w:b/>
          <w:sz w:val="20"/>
        </w:rPr>
      </w:pPr>
      <w:r w:rsidRPr="00FF2F30">
        <w:rPr>
          <w:rFonts w:ascii="Times New Roman" w:hAnsi="Times New Roman"/>
          <w:b/>
          <w:sz w:val="20"/>
        </w:rPr>
        <w:t xml:space="preserve">The downlink HARQ timing reference configuration of the TDD secondary cell is given by the pair of its own SIB1 DL/UL configuration and the RRC DL/UL configuration of the </w:t>
      </w:r>
      <w:proofErr w:type="spellStart"/>
      <w:r w:rsidRPr="00FF2F30">
        <w:rPr>
          <w:rFonts w:ascii="Times New Roman" w:hAnsi="Times New Roman"/>
          <w:b/>
          <w:sz w:val="20"/>
        </w:rPr>
        <w:t>Pcell</w:t>
      </w:r>
      <w:proofErr w:type="spellEnd"/>
      <w:r w:rsidRPr="00FF2F30">
        <w:rPr>
          <w:rFonts w:ascii="Times New Roman" w:hAnsi="Times New Roman"/>
          <w:b/>
          <w:sz w:val="20"/>
        </w:rPr>
        <w:t xml:space="preserve"> </w:t>
      </w:r>
      <w:proofErr w:type="gramStart"/>
      <w:r w:rsidRPr="00FF2F30">
        <w:rPr>
          <w:rFonts w:ascii="Times New Roman" w:hAnsi="Times New Roman"/>
          <w:b/>
          <w:sz w:val="20"/>
        </w:rPr>
        <w:t>similar to</w:t>
      </w:r>
      <w:proofErr w:type="gramEnd"/>
      <w:r w:rsidRPr="00FF2F30">
        <w:rPr>
          <w:rFonts w:ascii="Times New Roman" w:hAnsi="Times New Roman"/>
          <w:b/>
          <w:sz w:val="20"/>
        </w:rPr>
        <w:t xml:space="preserve"> the </w:t>
      </w:r>
      <w:r>
        <w:rPr>
          <w:rFonts w:ascii="Times New Roman" w:hAnsi="Times New Roman"/>
          <w:b/>
          <w:sz w:val="20"/>
        </w:rPr>
        <w:t xml:space="preserve">LTE </w:t>
      </w:r>
      <w:r w:rsidRPr="00FF2F30">
        <w:rPr>
          <w:rFonts w:ascii="Times New Roman" w:hAnsi="Times New Roman"/>
          <w:b/>
          <w:sz w:val="20"/>
        </w:rPr>
        <w:t xml:space="preserve">TDD-TDD CA </w:t>
      </w:r>
      <w:r>
        <w:rPr>
          <w:rFonts w:ascii="Times New Roman" w:hAnsi="Times New Roman"/>
          <w:b/>
          <w:sz w:val="20"/>
        </w:rPr>
        <w:t xml:space="preserve">with different DL/UL configurations. </w:t>
      </w:r>
      <w:r w:rsidR="00FF2F30" w:rsidRPr="003D3EBB">
        <w:rPr>
          <w:rFonts w:ascii="Times New Roman" w:hAnsi="Times New Roman"/>
          <w:b/>
          <w:sz w:val="20"/>
        </w:rPr>
        <w:t xml:space="preserve"> </w:t>
      </w:r>
    </w:p>
    <w:p w14:paraId="1D923B10" w14:textId="388FB7B5" w:rsidR="003A3006" w:rsidRDefault="00B53AB0" w:rsidP="00F03EDF">
      <w:pPr>
        <w:pStyle w:val="Heading1"/>
        <w:jc w:val="both"/>
        <w:rPr>
          <w:rFonts w:ascii="Times New Roman" w:hAnsi="Times New Roman"/>
        </w:rPr>
      </w:pPr>
      <w:r>
        <w:rPr>
          <w:rFonts w:ascii="Times New Roman" w:hAnsi="Times New Roman"/>
        </w:rPr>
        <w:t>Conclusion</w:t>
      </w:r>
    </w:p>
    <w:p w14:paraId="1EFD18E2" w14:textId="77777777" w:rsidR="00DC4D85" w:rsidRDefault="00DC4D85" w:rsidP="00DC4D85">
      <w:pPr>
        <w:jc w:val="both"/>
        <w:rPr>
          <w:b/>
        </w:rPr>
      </w:pPr>
      <w:r>
        <w:rPr>
          <w:b/>
        </w:rPr>
        <w:t>Proposal 1</w:t>
      </w:r>
      <w:r w:rsidRPr="00D67D74">
        <w:rPr>
          <w:b/>
        </w:rPr>
        <w:t>: For a UE configured with EN-DC</w:t>
      </w:r>
      <w:r>
        <w:rPr>
          <w:b/>
        </w:rPr>
        <w:t xml:space="preserve"> and </w:t>
      </w:r>
      <w:r w:rsidRPr="00DC6ECF">
        <w:rPr>
          <w:b/>
        </w:rPr>
        <w:t>capable of dynamic power sharing</w:t>
      </w:r>
      <w:r w:rsidRPr="00D67D74">
        <w:rPr>
          <w:b/>
        </w:rPr>
        <w:t xml:space="preserve">, </w:t>
      </w:r>
      <w:r>
        <w:rPr>
          <w:b/>
        </w:rPr>
        <w:t xml:space="preserve">under the case-1 single-Tx TDM solution, </w:t>
      </w:r>
      <w:r w:rsidRPr="00D67D74">
        <w:rPr>
          <w:b/>
        </w:rPr>
        <w:t>LTE uplink HARQ is the same as without EN-DC</w:t>
      </w:r>
      <w:r>
        <w:rPr>
          <w:b/>
        </w:rPr>
        <w:t xml:space="preserve"> for both FDD and TDD LTE </w:t>
      </w:r>
      <w:proofErr w:type="spellStart"/>
      <w:r>
        <w:rPr>
          <w:b/>
        </w:rPr>
        <w:t>Pcell</w:t>
      </w:r>
      <w:proofErr w:type="spellEnd"/>
      <w:r>
        <w:rPr>
          <w:b/>
        </w:rPr>
        <w:t xml:space="preserve"> and a</w:t>
      </w:r>
      <w:r w:rsidRPr="00D67D74">
        <w:rPr>
          <w:b/>
        </w:rPr>
        <w:t>ll uplink subframes can be used for LTE uplink data transmission.</w:t>
      </w:r>
    </w:p>
    <w:p w14:paraId="6EB04707" w14:textId="5D9D3396" w:rsidR="00DC4D85" w:rsidRPr="00F465D0" w:rsidRDefault="00DC4D85" w:rsidP="00DC4D85">
      <w:pPr>
        <w:jc w:val="both"/>
        <w:rPr>
          <w:b/>
        </w:rPr>
      </w:pPr>
      <w:r>
        <w:rPr>
          <w:b/>
        </w:rPr>
        <w:t>Proposal 2</w:t>
      </w:r>
      <w:r w:rsidRPr="00D67D74">
        <w:rPr>
          <w:b/>
        </w:rPr>
        <w:t xml:space="preserve">: </w:t>
      </w:r>
      <w:r>
        <w:rPr>
          <w:b/>
        </w:rPr>
        <w:t>Due to the severe negative impact on UL link budget, don’t intro</w:t>
      </w:r>
      <w:r w:rsidR="0039142B">
        <w:rPr>
          <w:b/>
        </w:rPr>
        <w:t>d</w:t>
      </w:r>
      <w:r>
        <w:rPr>
          <w:b/>
        </w:rPr>
        <w:t>uce case-1 singe-Tx TDM solution in TDD LTE unless data transmission on all UL subframes is enabled</w:t>
      </w:r>
      <w:r w:rsidRPr="00D67D74">
        <w:rPr>
          <w:b/>
        </w:rPr>
        <w:t>.</w:t>
      </w:r>
    </w:p>
    <w:p w14:paraId="01AF4C4D" w14:textId="6ED30335" w:rsidR="00714CA1" w:rsidRDefault="00714CA1" w:rsidP="00714CA1">
      <w:pPr>
        <w:jc w:val="both"/>
        <w:rPr>
          <w:b/>
        </w:rPr>
      </w:pPr>
      <w:r>
        <w:rPr>
          <w:b/>
        </w:rPr>
        <w:t xml:space="preserve">Proposal </w:t>
      </w:r>
      <w:r w:rsidR="009E67C3">
        <w:rPr>
          <w:b/>
        </w:rPr>
        <w:t>3</w:t>
      </w:r>
      <w:r w:rsidRPr="008E2BFC">
        <w:rPr>
          <w:b/>
        </w:rPr>
        <w:t xml:space="preserve">: </w:t>
      </w:r>
      <w:r>
        <w:rPr>
          <w:b/>
        </w:rPr>
        <w:t xml:space="preserve">If the need for enabling the case-1 single-Tx TDM solution for EN-DC with LTE-TDD </w:t>
      </w:r>
      <w:proofErr w:type="spellStart"/>
      <w:r>
        <w:rPr>
          <w:b/>
        </w:rPr>
        <w:t>Pcell</w:t>
      </w:r>
      <w:proofErr w:type="spellEnd"/>
      <w:r>
        <w:rPr>
          <w:b/>
        </w:rPr>
        <w:t xml:space="preserve"> is justified, the LTE downlink HARQ timing of the </w:t>
      </w:r>
      <w:proofErr w:type="spellStart"/>
      <w:r>
        <w:rPr>
          <w:b/>
        </w:rPr>
        <w:t>Pcell</w:t>
      </w:r>
      <w:proofErr w:type="spellEnd"/>
      <w:r>
        <w:rPr>
          <w:b/>
        </w:rPr>
        <w:t xml:space="preserve"> is based on the timing of the DL/UL configuration given by </w:t>
      </w:r>
      <w:r w:rsidR="003E0BEF">
        <w:rPr>
          <w:b/>
        </w:rPr>
        <w:t xml:space="preserve">the </w:t>
      </w:r>
      <w:r>
        <w:rPr>
          <w:b/>
        </w:rPr>
        <w:t xml:space="preserve">RRC signaling. </w:t>
      </w:r>
      <w:proofErr w:type="gramStart"/>
      <w:r>
        <w:rPr>
          <w:b/>
        </w:rPr>
        <w:t>Similar to</w:t>
      </w:r>
      <w:proofErr w:type="gramEnd"/>
      <w:r>
        <w:rPr>
          <w:b/>
        </w:rPr>
        <w:t xml:space="preserve"> </w:t>
      </w:r>
      <w:proofErr w:type="spellStart"/>
      <w:r>
        <w:rPr>
          <w:b/>
        </w:rPr>
        <w:t>eIMTA</w:t>
      </w:r>
      <w:proofErr w:type="spellEnd"/>
      <w:r>
        <w:rPr>
          <w:b/>
        </w:rPr>
        <w:t xml:space="preserve">, only DL/UL configurations 2, 4 and 5 can be used as a reference HARQ configuration of the </w:t>
      </w:r>
      <w:proofErr w:type="spellStart"/>
      <w:r>
        <w:rPr>
          <w:b/>
        </w:rPr>
        <w:t>Pcell</w:t>
      </w:r>
      <w:proofErr w:type="spellEnd"/>
      <w:r>
        <w:rPr>
          <w:b/>
        </w:rPr>
        <w:t xml:space="preserve">. Further, the uplink HARQ procedure is </w:t>
      </w:r>
      <w:proofErr w:type="gramStart"/>
      <w:r>
        <w:rPr>
          <w:b/>
        </w:rPr>
        <w:t>similar to</w:t>
      </w:r>
      <w:proofErr w:type="gramEnd"/>
      <w:r>
        <w:rPr>
          <w:b/>
        </w:rPr>
        <w:t xml:space="preserve"> the case without EN-DC.</w:t>
      </w:r>
    </w:p>
    <w:p w14:paraId="0AE4D73A" w14:textId="16674DA2" w:rsidR="00076534" w:rsidRPr="00FF2F30" w:rsidRDefault="00076534" w:rsidP="00076534">
      <w:pPr>
        <w:jc w:val="both"/>
        <w:rPr>
          <w:b/>
        </w:rPr>
      </w:pPr>
      <w:r w:rsidRPr="00FF2F30">
        <w:rPr>
          <w:b/>
        </w:rPr>
        <w:t>Pro</w:t>
      </w:r>
      <w:r>
        <w:rPr>
          <w:b/>
        </w:rPr>
        <w:t xml:space="preserve">posal </w:t>
      </w:r>
      <w:r w:rsidR="009E67C3">
        <w:rPr>
          <w:b/>
        </w:rPr>
        <w:t>4</w:t>
      </w:r>
      <w:r w:rsidRPr="00FF2F30">
        <w:rPr>
          <w:b/>
        </w:rPr>
        <w:t xml:space="preserve">: For a UE configured with EN-DC and more than one </w:t>
      </w:r>
      <w:r w:rsidR="003D3EBB">
        <w:rPr>
          <w:b/>
        </w:rPr>
        <w:t xml:space="preserve">DL </w:t>
      </w:r>
      <w:r w:rsidRPr="00FF2F30">
        <w:rPr>
          <w:b/>
        </w:rPr>
        <w:t>LTE serving cell:</w:t>
      </w:r>
    </w:p>
    <w:p w14:paraId="08218F0F" w14:textId="77777777" w:rsidR="00076534" w:rsidRPr="00FF2F30" w:rsidRDefault="00076534" w:rsidP="008C6BC6">
      <w:pPr>
        <w:pStyle w:val="ListParagraph"/>
        <w:numPr>
          <w:ilvl w:val="0"/>
          <w:numId w:val="6"/>
        </w:numPr>
        <w:jc w:val="both"/>
        <w:rPr>
          <w:rFonts w:ascii="Times New Roman" w:hAnsi="Times New Roman"/>
          <w:b/>
          <w:sz w:val="20"/>
        </w:rPr>
      </w:pPr>
      <w:r w:rsidRPr="00FF2F30">
        <w:rPr>
          <w:rFonts w:ascii="Times New Roman" w:hAnsi="Times New Roman"/>
          <w:b/>
          <w:sz w:val="20"/>
        </w:rPr>
        <w:t xml:space="preserve">The downlink HARQ timing reference configuration of the FDD secondary cell is the RRC DL/UL configuration of the </w:t>
      </w:r>
      <w:proofErr w:type="spellStart"/>
      <w:r w:rsidRPr="00FF2F30">
        <w:rPr>
          <w:rFonts w:ascii="Times New Roman" w:hAnsi="Times New Roman"/>
          <w:b/>
          <w:sz w:val="20"/>
        </w:rPr>
        <w:t>Pcell</w:t>
      </w:r>
      <w:proofErr w:type="spellEnd"/>
      <w:r w:rsidRPr="00FF2F30">
        <w:rPr>
          <w:rFonts w:ascii="Times New Roman" w:hAnsi="Times New Roman"/>
          <w:b/>
          <w:sz w:val="20"/>
        </w:rPr>
        <w:t>.</w:t>
      </w:r>
    </w:p>
    <w:p w14:paraId="0A79F4C4" w14:textId="6B7440BC" w:rsidR="00076534" w:rsidRPr="00FF2F30" w:rsidRDefault="00076534" w:rsidP="008C6BC6">
      <w:pPr>
        <w:pStyle w:val="ListParagraph"/>
        <w:numPr>
          <w:ilvl w:val="0"/>
          <w:numId w:val="6"/>
        </w:numPr>
        <w:jc w:val="both"/>
        <w:rPr>
          <w:rFonts w:ascii="Times New Roman" w:hAnsi="Times New Roman"/>
          <w:b/>
          <w:sz w:val="20"/>
        </w:rPr>
      </w:pPr>
      <w:r w:rsidRPr="00FF2F30">
        <w:rPr>
          <w:rFonts w:ascii="Times New Roman" w:hAnsi="Times New Roman"/>
          <w:b/>
          <w:sz w:val="20"/>
        </w:rPr>
        <w:t xml:space="preserve">The downlink HARQ timing reference configuration of the TDD secondary cell is given by the pair of its own SIB1 DL/UL configuration and the RRC DL/UL configuration of the </w:t>
      </w:r>
      <w:proofErr w:type="spellStart"/>
      <w:r w:rsidRPr="00FF2F30">
        <w:rPr>
          <w:rFonts w:ascii="Times New Roman" w:hAnsi="Times New Roman"/>
          <w:b/>
          <w:sz w:val="20"/>
        </w:rPr>
        <w:t>Pcell</w:t>
      </w:r>
      <w:proofErr w:type="spellEnd"/>
      <w:r w:rsidRPr="00FF2F30">
        <w:rPr>
          <w:rFonts w:ascii="Times New Roman" w:hAnsi="Times New Roman"/>
          <w:b/>
          <w:sz w:val="20"/>
        </w:rPr>
        <w:t xml:space="preserve"> </w:t>
      </w:r>
      <w:proofErr w:type="gramStart"/>
      <w:r w:rsidRPr="00FF2F30">
        <w:rPr>
          <w:rFonts w:ascii="Times New Roman" w:hAnsi="Times New Roman"/>
          <w:b/>
          <w:sz w:val="20"/>
        </w:rPr>
        <w:t>similar to</w:t>
      </w:r>
      <w:proofErr w:type="gramEnd"/>
      <w:r w:rsidRPr="00FF2F30">
        <w:rPr>
          <w:rFonts w:ascii="Times New Roman" w:hAnsi="Times New Roman"/>
          <w:b/>
          <w:sz w:val="20"/>
        </w:rPr>
        <w:t xml:space="preserve"> the </w:t>
      </w:r>
      <w:r w:rsidR="003D3EBB">
        <w:rPr>
          <w:rFonts w:ascii="Times New Roman" w:hAnsi="Times New Roman"/>
          <w:b/>
          <w:sz w:val="20"/>
        </w:rPr>
        <w:t xml:space="preserve">LTE </w:t>
      </w:r>
      <w:r w:rsidRPr="00FF2F30">
        <w:rPr>
          <w:rFonts w:ascii="Times New Roman" w:hAnsi="Times New Roman"/>
          <w:b/>
          <w:sz w:val="20"/>
        </w:rPr>
        <w:t xml:space="preserve">TDD-TDD CA </w:t>
      </w:r>
      <w:r w:rsidR="003D3EBB">
        <w:rPr>
          <w:rFonts w:ascii="Times New Roman" w:hAnsi="Times New Roman"/>
          <w:b/>
          <w:sz w:val="20"/>
        </w:rPr>
        <w:t xml:space="preserve">with different DL/UL configurations. </w:t>
      </w:r>
    </w:p>
    <w:p w14:paraId="19859383" w14:textId="05FE287D" w:rsidR="00DA24FA" w:rsidRPr="007C5EB9" w:rsidRDefault="00DA24FA" w:rsidP="000C7BB0">
      <w:pPr>
        <w:pStyle w:val="Caption"/>
        <w:rPr>
          <w:sz w:val="22"/>
          <w:szCs w:val="22"/>
        </w:rPr>
      </w:pPr>
      <w:bookmarkStart w:id="3" w:name="_Ref450583331"/>
      <w:bookmarkEnd w:id="3"/>
    </w:p>
    <w:sectPr w:rsidR="00DA24FA" w:rsidRPr="007C5EB9" w:rsidSect="00671B4F">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8ADB0" w14:textId="77777777" w:rsidR="00FF23D4" w:rsidRDefault="00FF23D4">
      <w:r>
        <w:separator/>
      </w:r>
    </w:p>
  </w:endnote>
  <w:endnote w:type="continuationSeparator" w:id="0">
    <w:p w14:paraId="5EAD1112" w14:textId="77777777" w:rsidR="00FF23D4" w:rsidRDefault="00FF23D4">
      <w:r>
        <w:continuationSeparator/>
      </w:r>
    </w:p>
  </w:endnote>
  <w:endnote w:type="continuationNotice" w:id="1">
    <w:p w14:paraId="0996A8CD" w14:textId="77777777" w:rsidR="00FF23D4" w:rsidRDefault="00FF23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A5776A" w:rsidRDefault="00A5776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A5776A" w:rsidRDefault="00A5776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A5776A" w:rsidRDefault="00A5776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BB9DA" w14:textId="77777777" w:rsidR="00FF23D4" w:rsidRDefault="00FF23D4">
      <w:r>
        <w:separator/>
      </w:r>
    </w:p>
  </w:footnote>
  <w:footnote w:type="continuationSeparator" w:id="0">
    <w:p w14:paraId="5C9A61C8" w14:textId="77777777" w:rsidR="00FF23D4" w:rsidRDefault="00FF23D4">
      <w:r>
        <w:continuationSeparator/>
      </w:r>
    </w:p>
  </w:footnote>
  <w:footnote w:type="continuationNotice" w:id="1">
    <w:p w14:paraId="6525B05B" w14:textId="77777777" w:rsidR="00FF23D4" w:rsidRDefault="00FF23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A5776A" w:rsidRDefault="00A5776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A7772CE"/>
    <w:multiLevelType w:val="hybridMultilevel"/>
    <w:tmpl w:val="5186EBDC"/>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3" w15:restartNumberingAfterBreak="0">
    <w:nsid w:val="1C7E4E9E"/>
    <w:multiLevelType w:val="hybridMultilevel"/>
    <w:tmpl w:val="B1B28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2BB3F6F"/>
    <w:multiLevelType w:val="hybridMultilevel"/>
    <w:tmpl w:val="899CB8B6"/>
    <w:lvl w:ilvl="0" w:tplc="A212F620">
      <w:start w:val="1"/>
      <w:numFmt w:val="bullet"/>
      <w:lvlText w:val="•"/>
      <w:lvlJc w:val="left"/>
      <w:pPr>
        <w:tabs>
          <w:tab w:val="num" w:pos="720"/>
        </w:tabs>
        <w:ind w:left="720" w:hanging="360"/>
      </w:pPr>
      <w:rPr>
        <w:rFonts w:ascii="Arial" w:hAnsi="Arial" w:hint="default"/>
      </w:rPr>
    </w:lvl>
    <w:lvl w:ilvl="1" w:tplc="E8C2EE40">
      <w:start w:val="238"/>
      <w:numFmt w:val="bullet"/>
      <w:lvlText w:val="•"/>
      <w:lvlJc w:val="left"/>
      <w:pPr>
        <w:tabs>
          <w:tab w:val="num" w:pos="1440"/>
        </w:tabs>
        <w:ind w:left="1440" w:hanging="360"/>
      </w:pPr>
      <w:rPr>
        <w:rFonts w:ascii="Arial" w:hAnsi="Arial" w:hint="default"/>
      </w:rPr>
    </w:lvl>
    <w:lvl w:ilvl="2" w:tplc="9D5C7444">
      <w:start w:val="238"/>
      <w:numFmt w:val="bullet"/>
      <w:lvlText w:val="•"/>
      <w:lvlJc w:val="left"/>
      <w:pPr>
        <w:tabs>
          <w:tab w:val="num" w:pos="2160"/>
        </w:tabs>
        <w:ind w:left="2160" w:hanging="360"/>
      </w:pPr>
      <w:rPr>
        <w:rFonts w:ascii="Arial" w:hAnsi="Arial" w:hint="default"/>
      </w:rPr>
    </w:lvl>
    <w:lvl w:ilvl="3" w:tplc="D750A97A">
      <w:start w:val="238"/>
      <w:numFmt w:val="bullet"/>
      <w:lvlText w:val="•"/>
      <w:lvlJc w:val="left"/>
      <w:pPr>
        <w:tabs>
          <w:tab w:val="num" w:pos="2880"/>
        </w:tabs>
        <w:ind w:left="2880" w:hanging="360"/>
      </w:pPr>
      <w:rPr>
        <w:rFonts w:ascii="Arial" w:hAnsi="Arial" w:hint="default"/>
      </w:rPr>
    </w:lvl>
    <w:lvl w:ilvl="4" w:tplc="31061DC4" w:tentative="1">
      <w:start w:val="1"/>
      <w:numFmt w:val="bullet"/>
      <w:lvlText w:val="•"/>
      <w:lvlJc w:val="left"/>
      <w:pPr>
        <w:tabs>
          <w:tab w:val="num" w:pos="3600"/>
        </w:tabs>
        <w:ind w:left="3600" w:hanging="360"/>
      </w:pPr>
      <w:rPr>
        <w:rFonts w:ascii="Arial" w:hAnsi="Arial" w:hint="default"/>
      </w:rPr>
    </w:lvl>
    <w:lvl w:ilvl="5" w:tplc="61186BA0" w:tentative="1">
      <w:start w:val="1"/>
      <w:numFmt w:val="bullet"/>
      <w:lvlText w:val="•"/>
      <w:lvlJc w:val="left"/>
      <w:pPr>
        <w:tabs>
          <w:tab w:val="num" w:pos="4320"/>
        </w:tabs>
        <w:ind w:left="4320" w:hanging="360"/>
      </w:pPr>
      <w:rPr>
        <w:rFonts w:ascii="Arial" w:hAnsi="Arial" w:hint="default"/>
      </w:rPr>
    </w:lvl>
    <w:lvl w:ilvl="6" w:tplc="2FBA7F10" w:tentative="1">
      <w:start w:val="1"/>
      <w:numFmt w:val="bullet"/>
      <w:lvlText w:val="•"/>
      <w:lvlJc w:val="left"/>
      <w:pPr>
        <w:tabs>
          <w:tab w:val="num" w:pos="5040"/>
        </w:tabs>
        <w:ind w:left="5040" w:hanging="360"/>
      </w:pPr>
      <w:rPr>
        <w:rFonts w:ascii="Arial" w:hAnsi="Arial" w:hint="default"/>
      </w:rPr>
    </w:lvl>
    <w:lvl w:ilvl="7" w:tplc="FAAAD548" w:tentative="1">
      <w:start w:val="1"/>
      <w:numFmt w:val="bullet"/>
      <w:lvlText w:val="•"/>
      <w:lvlJc w:val="left"/>
      <w:pPr>
        <w:tabs>
          <w:tab w:val="num" w:pos="5760"/>
        </w:tabs>
        <w:ind w:left="5760" w:hanging="360"/>
      </w:pPr>
      <w:rPr>
        <w:rFonts w:ascii="Arial" w:hAnsi="Arial" w:hint="default"/>
      </w:rPr>
    </w:lvl>
    <w:lvl w:ilvl="8" w:tplc="C6D224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E990AEB"/>
    <w:multiLevelType w:val="hybridMultilevel"/>
    <w:tmpl w:val="4E4C2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6"/>
    <w:lvlOverride w:ilvl="0">
      <w:startOverride w:val="1"/>
    </w:lvlOverride>
  </w:num>
  <w:num w:numId="4">
    <w:abstractNumId w:val="7"/>
  </w:num>
  <w:num w:numId="5">
    <w:abstractNumId w:val="2"/>
  </w:num>
  <w:num w:numId="6">
    <w:abstractNumId w:val="8"/>
  </w:num>
  <w:num w:numId="7">
    <w:abstractNumId w:val="3"/>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ECA"/>
    <w:rsid w:val="00000F7F"/>
    <w:rsid w:val="00001298"/>
    <w:rsid w:val="00001375"/>
    <w:rsid w:val="00001F79"/>
    <w:rsid w:val="00001FC3"/>
    <w:rsid w:val="00002375"/>
    <w:rsid w:val="000024E0"/>
    <w:rsid w:val="0000270A"/>
    <w:rsid w:val="000027E7"/>
    <w:rsid w:val="00002A8E"/>
    <w:rsid w:val="00003131"/>
    <w:rsid w:val="000037FB"/>
    <w:rsid w:val="00003B9D"/>
    <w:rsid w:val="00003EF4"/>
    <w:rsid w:val="0000403F"/>
    <w:rsid w:val="00004851"/>
    <w:rsid w:val="00004885"/>
    <w:rsid w:val="00004D8C"/>
    <w:rsid w:val="00004DCB"/>
    <w:rsid w:val="000051F0"/>
    <w:rsid w:val="0000553B"/>
    <w:rsid w:val="000063BC"/>
    <w:rsid w:val="00006780"/>
    <w:rsid w:val="00006C7A"/>
    <w:rsid w:val="00007304"/>
    <w:rsid w:val="0000738D"/>
    <w:rsid w:val="00007495"/>
    <w:rsid w:val="0000792C"/>
    <w:rsid w:val="00007B4B"/>
    <w:rsid w:val="000101EF"/>
    <w:rsid w:val="00010E97"/>
    <w:rsid w:val="00010FD1"/>
    <w:rsid w:val="0001117C"/>
    <w:rsid w:val="000124D1"/>
    <w:rsid w:val="00012B5F"/>
    <w:rsid w:val="00012D57"/>
    <w:rsid w:val="00012EE9"/>
    <w:rsid w:val="0001321B"/>
    <w:rsid w:val="0001328A"/>
    <w:rsid w:val="00013363"/>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309"/>
    <w:rsid w:val="00017481"/>
    <w:rsid w:val="00017982"/>
    <w:rsid w:val="0002002A"/>
    <w:rsid w:val="000205C1"/>
    <w:rsid w:val="000207DF"/>
    <w:rsid w:val="0002085F"/>
    <w:rsid w:val="00020D61"/>
    <w:rsid w:val="00020DDB"/>
    <w:rsid w:val="00021001"/>
    <w:rsid w:val="0002113C"/>
    <w:rsid w:val="0002130A"/>
    <w:rsid w:val="00021911"/>
    <w:rsid w:val="00021C67"/>
    <w:rsid w:val="00021DEC"/>
    <w:rsid w:val="000221EB"/>
    <w:rsid w:val="0002226E"/>
    <w:rsid w:val="000222F7"/>
    <w:rsid w:val="00023303"/>
    <w:rsid w:val="00023967"/>
    <w:rsid w:val="00023C29"/>
    <w:rsid w:val="00023DD0"/>
    <w:rsid w:val="000244F7"/>
    <w:rsid w:val="00024D64"/>
    <w:rsid w:val="00024E37"/>
    <w:rsid w:val="0002506A"/>
    <w:rsid w:val="000255A1"/>
    <w:rsid w:val="000258DD"/>
    <w:rsid w:val="0002591B"/>
    <w:rsid w:val="00025ABD"/>
    <w:rsid w:val="00025B86"/>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1DC"/>
    <w:rsid w:val="000325EF"/>
    <w:rsid w:val="00032A0C"/>
    <w:rsid w:val="0003429E"/>
    <w:rsid w:val="00034408"/>
    <w:rsid w:val="000344A6"/>
    <w:rsid w:val="00034882"/>
    <w:rsid w:val="000349B7"/>
    <w:rsid w:val="0003540B"/>
    <w:rsid w:val="00035574"/>
    <w:rsid w:val="00036167"/>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3C76"/>
    <w:rsid w:val="00044225"/>
    <w:rsid w:val="00044576"/>
    <w:rsid w:val="0004476A"/>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2CEA"/>
    <w:rsid w:val="000531A8"/>
    <w:rsid w:val="000532C1"/>
    <w:rsid w:val="00053552"/>
    <w:rsid w:val="00053849"/>
    <w:rsid w:val="00053A47"/>
    <w:rsid w:val="00053F7B"/>
    <w:rsid w:val="0005456E"/>
    <w:rsid w:val="00054ACE"/>
    <w:rsid w:val="00054AE4"/>
    <w:rsid w:val="00054DAB"/>
    <w:rsid w:val="00054F19"/>
    <w:rsid w:val="0005504C"/>
    <w:rsid w:val="00055873"/>
    <w:rsid w:val="00055B8E"/>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6E1"/>
    <w:rsid w:val="00061BDC"/>
    <w:rsid w:val="00061BF7"/>
    <w:rsid w:val="00061D2A"/>
    <w:rsid w:val="000621A9"/>
    <w:rsid w:val="0006263A"/>
    <w:rsid w:val="00062C7E"/>
    <w:rsid w:val="00062D9A"/>
    <w:rsid w:val="00062DBF"/>
    <w:rsid w:val="000631CE"/>
    <w:rsid w:val="00063226"/>
    <w:rsid w:val="00063485"/>
    <w:rsid w:val="00063F57"/>
    <w:rsid w:val="00064461"/>
    <w:rsid w:val="000646B1"/>
    <w:rsid w:val="0006480B"/>
    <w:rsid w:val="00064A2B"/>
    <w:rsid w:val="00064B46"/>
    <w:rsid w:val="00065016"/>
    <w:rsid w:val="00065031"/>
    <w:rsid w:val="0006549C"/>
    <w:rsid w:val="000659DD"/>
    <w:rsid w:val="00065D64"/>
    <w:rsid w:val="00065D68"/>
    <w:rsid w:val="000667D1"/>
    <w:rsid w:val="00066F75"/>
    <w:rsid w:val="00067087"/>
    <w:rsid w:val="0006709E"/>
    <w:rsid w:val="0006739D"/>
    <w:rsid w:val="0006777C"/>
    <w:rsid w:val="00067EC6"/>
    <w:rsid w:val="00067FE2"/>
    <w:rsid w:val="00070192"/>
    <w:rsid w:val="0007020C"/>
    <w:rsid w:val="0007077B"/>
    <w:rsid w:val="0007118F"/>
    <w:rsid w:val="00071223"/>
    <w:rsid w:val="0007162A"/>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0D6"/>
    <w:rsid w:val="0007631D"/>
    <w:rsid w:val="00076408"/>
    <w:rsid w:val="000764A8"/>
    <w:rsid w:val="00076534"/>
    <w:rsid w:val="00076547"/>
    <w:rsid w:val="00076608"/>
    <w:rsid w:val="00076759"/>
    <w:rsid w:val="00076C6C"/>
    <w:rsid w:val="00077073"/>
    <w:rsid w:val="00077800"/>
    <w:rsid w:val="0008022A"/>
    <w:rsid w:val="00080418"/>
    <w:rsid w:val="000805B2"/>
    <w:rsid w:val="00080D74"/>
    <w:rsid w:val="00080DAD"/>
    <w:rsid w:val="00081359"/>
    <w:rsid w:val="00081383"/>
    <w:rsid w:val="000826FF"/>
    <w:rsid w:val="00082A49"/>
    <w:rsid w:val="00082C90"/>
    <w:rsid w:val="000832D0"/>
    <w:rsid w:val="00083322"/>
    <w:rsid w:val="00083559"/>
    <w:rsid w:val="00083840"/>
    <w:rsid w:val="0008399B"/>
    <w:rsid w:val="00083ABE"/>
    <w:rsid w:val="00084255"/>
    <w:rsid w:val="00084D3C"/>
    <w:rsid w:val="00084FCD"/>
    <w:rsid w:val="000850B1"/>
    <w:rsid w:val="00085239"/>
    <w:rsid w:val="00085DA3"/>
    <w:rsid w:val="00085F08"/>
    <w:rsid w:val="000862BA"/>
    <w:rsid w:val="000862F6"/>
    <w:rsid w:val="00086849"/>
    <w:rsid w:val="00086AD4"/>
    <w:rsid w:val="00086B50"/>
    <w:rsid w:val="00086C4D"/>
    <w:rsid w:val="00087350"/>
    <w:rsid w:val="0008760B"/>
    <w:rsid w:val="0008782D"/>
    <w:rsid w:val="00087965"/>
    <w:rsid w:val="00087E29"/>
    <w:rsid w:val="0009037D"/>
    <w:rsid w:val="00090394"/>
    <w:rsid w:val="00090573"/>
    <w:rsid w:val="00091C98"/>
    <w:rsid w:val="000921E3"/>
    <w:rsid w:val="00092A3D"/>
    <w:rsid w:val="000931C3"/>
    <w:rsid w:val="00093566"/>
    <w:rsid w:val="00093F75"/>
    <w:rsid w:val="000941ED"/>
    <w:rsid w:val="0009437A"/>
    <w:rsid w:val="000947B7"/>
    <w:rsid w:val="0009512D"/>
    <w:rsid w:val="000954C6"/>
    <w:rsid w:val="00095671"/>
    <w:rsid w:val="000956BC"/>
    <w:rsid w:val="000957FF"/>
    <w:rsid w:val="00095920"/>
    <w:rsid w:val="00095BBF"/>
    <w:rsid w:val="00095F53"/>
    <w:rsid w:val="000962B0"/>
    <w:rsid w:val="0009653B"/>
    <w:rsid w:val="000968D8"/>
    <w:rsid w:val="0009709B"/>
    <w:rsid w:val="000970D0"/>
    <w:rsid w:val="0009720E"/>
    <w:rsid w:val="000979F0"/>
    <w:rsid w:val="00097AE8"/>
    <w:rsid w:val="00097CB9"/>
    <w:rsid w:val="000A02DC"/>
    <w:rsid w:val="000A09A2"/>
    <w:rsid w:val="000A0CA1"/>
    <w:rsid w:val="000A0CC6"/>
    <w:rsid w:val="000A0E99"/>
    <w:rsid w:val="000A1AD3"/>
    <w:rsid w:val="000A1D49"/>
    <w:rsid w:val="000A23E5"/>
    <w:rsid w:val="000A26E4"/>
    <w:rsid w:val="000A2D70"/>
    <w:rsid w:val="000A30DE"/>
    <w:rsid w:val="000A3132"/>
    <w:rsid w:val="000A31F7"/>
    <w:rsid w:val="000A3ACB"/>
    <w:rsid w:val="000A44E5"/>
    <w:rsid w:val="000A49DE"/>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522"/>
    <w:rsid w:val="000A7C88"/>
    <w:rsid w:val="000B02C2"/>
    <w:rsid w:val="000B0761"/>
    <w:rsid w:val="000B081C"/>
    <w:rsid w:val="000B0E8D"/>
    <w:rsid w:val="000B10AB"/>
    <w:rsid w:val="000B10E2"/>
    <w:rsid w:val="000B1658"/>
    <w:rsid w:val="000B1CD3"/>
    <w:rsid w:val="000B256B"/>
    <w:rsid w:val="000B25BE"/>
    <w:rsid w:val="000B27A6"/>
    <w:rsid w:val="000B32D4"/>
    <w:rsid w:val="000B38DA"/>
    <w:rsid w:val="000B38E4"/>
    <w:rsid w:val="000B3F37"/>
    <w:rsid w:val="000B4788"/>
    <w:rsid w:val="000B49D7"/>
    <w:rsid w:val="000B546F"/>
    <w:rsid w:val="000B5589"/>
    <w:rsid w:val="000B6030"/>
    <w:rsid w:val="000B65BE"/>
    <w:rsid w:val="000B6BDF"/>
    <w:rsid w:val="000B71B6"/>
    <w:rsid w:val="000B7776"/>
    <w:rsid w:val="000B7B2B"/>
    <w:rsid w:val="000B7D5E"/>
    <w:rsid w:val="000C0094"/>
    <w:rsid w:val="000C10EC"/>
    <w:rsid w:val="000C133A"/>
    <w:rsid w:val="000C1545"/>
    <w:rsid w:val="000C1DBD"/>
    <w:rsid w:val="000C1DC8"/>
    <w:rsid w:val="000C240A"/>
    <w:rsid w:val="000C2641"/>
    <w:rsid w:val="000C29DF"/>
    <w:rsid w:val="000C2DE1"/>
    <w:rsid w:val="000C2E7E"/>
    <w:rsid w:val="000C393F"/>
    <w:rsid w:val="000C4065"/>
    <w:rsid w:val="000C4137"/>
    <w:rsid w:val="000C4193"/>
    <w:rsid w:val="000C4538"/>
    <w:rsid w:val="000C4C76"/>
    <w:rsid w:val="000C5759"/>
    <w:rsid w:val="000C5C2C"/>
    <w:rsid w:val="000C5E7D"/>
    <w:rsid w:val="000C60A6"/>
    <w:rsid w:val="000C673C"/>
    <w:rsid w:val="000C69F8"/>
    <w:rsid w:val="000C6A01"/>
    <w:rsid w:val="000C6C9C"/>
    <w:rsid w:val="000C71D9"/>
    <w:rsid w:val="000C7BB0"/>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BE0"/>
    <w:rsid w:val="000D7CB1"/>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830"/>
    <w:rsid w:val="000E5848"/>
    <w:rsid w:val="000E5C07"/>
    <w:rsid w:val="000E5C4E"/>
    <w:rsid w:val="000E5CA5"/>
    <w:rsid w:val="000E5E3A"/>
    <w:rsid w:val="000E65A7"/>
    <w:rsid w:val="000E6635"/>
    <w:rsid w:val="000E6BAF"/>
    <w:rsid w:val="000E6EED"/>
    <w:rsid w:val="000E6F62"/>
    <w:rsid w:val="000E7197"/>
    <w:rsid w:val="000E726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C32"/>
    <w:rsid w:val="000F6D86"/>
    <w:rsid w:val="000F6FA4"/>
    <w:rsid w:val="000F7CAD"/>
    <w:rsid w:val="00100097"/>
    <w:rsid w:val="001000E9"/>
    <w:rsid w:val="00100161"/>
    <w:rsid w:val="00100169"/>
    <w:rsid w:val="0010030F"/>
    <w:rsid w:val="0010067A"/>
    <w:rsid w:val="00100B4C"/>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A80"/>
    <w:rsid w:val="001050B7"/>
    <w:rsid w:val="001050F9"/>
    <w:rsid w:val="0010521E"/>
    <w:rsid w:val="0010568A"/>
    <w:rsid w:val="001056B6"/>
    <w:rsid w:val="001056C5"/>
    <w:rsid w:val="00105820"/>
    <w:rsid w:val="0010592B"/>
    <w:rsid w:val="00105BF0"/>
    <w:rsid w:val="00105CEE"/>
    <w:rsid w:val="00105DA1"/>
    <w:rsid w:val="0010660E"/>
    <w:rsid w:val="001069CA"/>
    <w:rsid w:val="00106A95"/>
    <w:rsid w:val="00106CC3"/>
    <w:rsid w:val="00106E7E"/>
    <w:rsid w:val="00106FF1"/>
    <w:rsid w:val="0010795D"/>
    <w:rsid w:val="0011034F"/>
    <w:rsid w:val="00110846"/>
    <w:rsid w:val="00110851"/>
    <w:rsid w:val="00111270"/>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4F67"/>
    <w:rsid w:val="0011536C"/>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769"/>
    <w:rsid w:val="00121E1A"/>
    <w:rsid w:val="001221F2"/>
    <w:rsid w:val="0012240F"/>
    <w:rsid w:val="00122727"/>
    <w:rsid w:val="00122842"/>
    <w:rsid w:val="00123012"/>
    <w:rsid w:val="0012345C"/>
    <w:rsid w:val="00123818"/>
    <w:rsid w:val="00123975"/>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714"/>
    <w:rsid w:val="00130790"/>
    <w:rsid w:val="00130953"/>
    <w:rsid w:val="00130BBD"/>
    <w:rsid w:val="00130FF3"/>
    <w:rsid w:val="00131683"/>
    <w:rsid w:val="00131AC6"/>
    <w:rsid w:val="00131E9D"/>
    <w:rsid w:val="00132198"/>
    <w:rsid w:val="001321CE"/>
    <w:rsid w:val="001322B0"/>
    <w:rsid w:val="00132671"/>
    <w:rsid w:val="00132767"/>
    <w:rsid w:val="00132917"/>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821"/>
    <w:rsid w:val="00136998"/>
    <w:rsid w:val="00136AAD"/>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4B9"/>
    <w:rsid w:val="0015051D"/>
    <w:rsid w:val="001508E1"/>
    <w:rsid w:val="001509A7"/>
    <w:rsid w:val="001510ED"/>
    <w:rsid w:val="001517AB"/>
    <w:rsid w:val="00151805"/>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622B"/>
    <w:rsid w:val="00156260"/>
    <w:rsid w:val="00156502"/>
    <w:rsid w:val="00156FAC"/>
    <w:rsid w:val="0016008F"/>
    <w:rsid w:val="0016019C"/>
    <w:rsid w:val="001601C7"/>
    <w:rsid w:val="001602C2"/>
    <w:rsid w:val="00160674"/>
    <w:rsid w:val="00160786"/>
    <w:rsid w:val="00161094"/>
    <w:rsid w:val="00161C42"/>
    <w:rsid w:val="00162262"/>
    <w:rsid w:val="001623A3"/>
    <w:rsid w:val="00162BD5"/>
    <w:rsid w:val="00162CF1"/>
    <w:rsid w:val="00162F82"/>
    <w:rsid w:val="001630E4"/>
    <w:rsid w:val="0016368F"/>
    <w:rsid w:val="001639BC"/>
    <w:rsid w:val="00163AFC"/>
    <w:rsid w:val="00163C9A"/>
    <w:rsid w:val="00164646"/>
    <w:rsid w:val="001647FA"/>
    <w:rsid w:val="00165137"/>
    <w:rsid w:val="001652D1"/>
    <w:rsid w:val="001652DD"/>
    <w:rsid w:val="0016634F"/>
    <w:rsid w:val="00166809"/>
    <w:rsid w:val="00166879"/>
    <w:rsid w:val="001669F9"/>
    <w:rsid w:val="00166D9E"/>
    <w:rsid w:val="00166EE2"/>
    <w:rsid w:val="0016700E"/>
    <w:rsid w:val="00167125"/>
    <w:rsid w:val="0016733C"/>
    <w:rsid w:val="00167397"/>
    <w:rsid w:val="0016764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20B2"/>
    <w:rsid w:val="001821E9"/>
    <w:rsid w:val="0018246F"/>
    <w:rsid w:val="00182718"/>
    <w:rsid w:val="00182FBF"/>
    <w:rsid w:val="001836DF"/>
    <w:rsid w:val="00183CB7"/>
    <w:rsid w:val="00183CC6"/>
    <w:rsid w:val="00183F11"/>
    <w:rsid w:val="001840A0"/>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3987"/>
    <w:rsid w:val="00194955"/>
    <w:rsid w:val="0019573B"/>
    <w:rsid w:val="0019592C"/>
    <w:rsid w:val="00196085"/>
    <w:rsid w:val="00196700"/>
    <w:rsid w:val="00196B90"/>
    <w:rsid w:val="00196DE8"/>
    <w:rsid w:val="00196FF4"/>
    <w:rsid w:val="0019734F"/>
    <w:rsid w:val="00197D98"/>
    <w:rsid w:val="001A0303"/>
    <w:rsid w:val="001A0676"/>
    <w:rsid w:val="001A067A"/>
    <w:rsid w:val="001A06C8"/>
    <w:rsid w:val="001A1337"/>
    <w:rsid w:val="001A2939"/>
    <w:rsid w:val="001A2A71"/>
    <w:rsid w:val="001A2FD5"/>
    <w:rsid w:val="001A3037"/>
    <w:rsid w:val="001A30FB"/>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B00B2"/>
    <w:rsid w:val="001B0149"/>
    <w:rsid w:val="001B0251"/>
    <w:rsid w:val="001B1565"/>
    <w:rsid w:val="001B19DD"/>
    <w:rsid w:val="001B1BC6"/>
    <w:rsid w:val="001B1D77"/>
    <w:rsid w:val="001B2993"/>
    <w:rsid w:val="001B2C18"/>
    <w:rsid w:val="001B35C1"/>
    <w:rsid w:val="001B3754"/>
    <w:rsid w:val="001B3A10"/>
    <w:rsid w:val="001B4371"/>
    <w:rsid w:val="001B44B8"/>
    <w:rsid w:val="001B5058"/>
    <w:rsid w:val="001B5332"/>
    <w:rsid w:val="001B54E9"/>
    <w:rsid w:val="001B55DE"/>
    <w:rsid w:val="001B70CF"/>
    <w:rsid w:val="001B748B"/>
    <w:rsid w:val="001B768D"/>
    <w:rsid w:val="001B7700"/>
    <w:rsid w:val="001B7712"/>
    <w:rsid w:val="001B7905"/>
    <w:rsid w:val="001B7F92"/>
    <w:rsid w:val="001C0066"/>
    <w:rsid w:val="001C0085"/>
    <w:rsid w:val="001C063F"/>
    <w:rsid w:val="001C0874"/>
    <w:rsid w:val="001C0883"/>
    <w:rsid w:val="001C090F"/>
    <w:rsid w:val="001C1544"/>
    <w:rsid w:val="001C16A9"/>
    <w:rsid w:val="001C19EB"/>
    <w:rsid w:val="001C1BC1"/>
    <w:rsid w:val="001C1E53"/>
    <w:rsid w:val="001C211D"/>
    <w:rsid w:val="001C2A8B"/>
    <w:rsid w:val="001C3434"/>
    <w:rsid w:val="001C3474"/>
    <w:rsid w:val="001C3DC6"/>
    <w:rsid w:val="001C3E02"/>
    <w:rsid w:val="001C43B9"/>
    <w:rsid w:val="001C4748"/>
    <w:rsid w:val="001C4A39"/>
    <w:rsid w:val="001C4F5F"/>
    <w:rsid w:val="001C54B8"/>
    <w:rsid w:val="001C589B"/>
    <w:rsid w:val="001C58A6"/>
    <w:rsid w:val="001C5BC8"/>
    <w:rsid w:val="001C5DBB"/>
    <w:rsid w:val="001C5E21"/>
    <w:rsid w:val="001C5F88"/>
    <w:rsid w:val="001C6154"/>
    <w:rsid w:val="001C6182"/>
    <w:rsid w:val="001C619C"/>
    <w:rsid w:val="001C62D8"/>
    <w:rsid w:val="001C66D2"/>
    <w:rsid w:val="001C7374"/>
    <w:rsid w:val="001C7F47"/>
    <w:rsid w:val="001C7FBA"/>
    <w:rsid w:val="001D006C"/>
    <w:rsid w:val="001D056C"/>
    <w:rsid w:val="001D0578"/>
    <w:rsid w:val="001D0593"/>
    <w:rsid w:val="001D0D7C"/>
    <w:rsid w:val="001D1258"/>
    <w:rsid w:val="001D125F"/>
    <w:rsid w:val="001D19F8"/>
    <w:rsid w:val="001D1CFF"/>
    <w:rsid w:val="001D2B3C"/>
    <w:rsid w:val="001D2B70"/>
    <w:rsid w:val="001D2E6C"/>
    <w:rsid w:val="001D35DC"/>
    <w:rsid w:val="001D43C0"/>
    <w:rsid w:val="001D448E"/>
    <w:rsid w:val="001D4679"/>
    <w:rsid w:val="001D4969"/>
    <w:rsid w:val="001D4AF0"/>
    <w:rsid w:val="001D4F24"/>
    <w:rsid w:val="001D4FA7"/>
    <w:rsid w:val="001D506F"/>
    <w:rsid w:val="001D57BC"/>
    <w:rsid w:val="001D64B0"/>
    <w:rsid w:val="001D6BC7"/>
    <w:rsid w:val="001D6E61"/>
    <w:rsid w:val="001D6F30"/>
    <w:rsid w:val="001D7052"/>
    <w:rsid w:val="001D7189"/>
    <w:rsid w:val="001D7260"/>
    <w:rsid w:val="001D7816"/>
    <w:rsid w:val="001D7ADE"/>
    <w:rsid w:val="001D7B96"/>
    <w:rsid w:val="001D7FE2"/>
    <w:rsid w:val="001E0151"/>
    <w:rsid w:val="001E09F4"/>
    <w:rsid w:val="001E0A73"/>
    <w:rsid w:val="001E0F76"/>
    <w:rsid w:val="001E111F"/>
    <w:rsid w:val="001E1284"/>
    <w:rsid w:val="001E1524"/>
    <w:rsid w:val="001E16D8"/>
    <w:rsid w:val="001E1D3C"/>
    <w:rsid w:val="001E1DDA"/>
    <w:rsid w:val="001E220A"/>
    <w:rsid w:val="001E251E"/>
    <w:rsid w:val="001E266E"/>
    <w:rsid w:val="001E2BF5"/>
    <w:rsid w:val="001E2EEF"/>
    <w:rsid w:val="001E3188"/>
    <w:rsid w:val="001E31D1"/>
    <w:rsid w:val="001E32BE"/>
    <w:rsid w:val="001E338C"/>
    <w:rsid w:val="001E3A45"/>
    <w:rsid w:val="001E3B7D"/>
    <w:rsid w:val="001E40C0"/>
    <w:rsid w:val="001E420B"/>
    <w:rsid w:val="001E4704"/>
    <w:rsid w:val="001E5BB2"/>
    <w:rsid w:val="001E5D1F"/>
    <w:rsid w:val="001E6313"/>
    <w:rsid w:val="001E6692"/>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5E8"/>
    <w:rsid w:val="001F4E57"/>
    <w:rsid w:val="001F53A2"/>
    <w:rsid w:val="001F5C95"/>
    <w:rsid w:val="001F5C9E"/>
    <w:rsid w:val="001F5E73"/>
    <w:rsid w:val="001F5ED8"/>
    <w:rsid w:val="001F5F10"/>
    <w:rsid w:val="001F644E"/>
    <w:rsid w:val="001F6DCF"/>
    <w:rsid w:val="001F6E45"/>
    <w:rsid w:val="001F71EA"/>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BF6"/>
    <w:rsid w:val="00206C83"/>
    <w:rsid w:val="00206DC3"/>
    <w:rsid w:val="00206E5A"/>
    <w:rsid w:val="00207613"/>
    <w:rsid w:val="00207847"/>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816"/>
    <w:rsid w:val="002130BD"/>
    <w:rsid w:val="00213851"/>
    <w:rsid w:val="002147DF"/>
    <w:rsid w:val="00214E0D"/>
    <w:rsid w:val="00214EE1"/>
    <w:rsid w:val="0021512E"/>
    <w:rsid w:val="002152CA"/>
    <w:rsid w:val="0021586D"/>
    <w:rsid w:val="00215D76"/>
    <w:rsid w:val="00215D88"/>
    <w:rsid w:val="00215FAB"/>
    <w:rsid w:val="00216195"/>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75C"/>
    <w:rsid w:val="00223833"/>
    <w:rsid w:val="00223ACD"/>
    <w:rsid w:val="00223FA0"/>
    <w:rsid w:val="00224A38"/>
    <w:rsid w:val="00224A9B"/>
    <w:rsid w:val="0022657F"/>
    <w:rsid w:val="002269A7"/>
    <w:rsid w:val="00226A52"/>
    <w:rsid w:val="00226AE0"/>
    <w:rsid w:val="00226BD3"/>
    <w:rsid w:val="00226EBC"/>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0FC"/>
    <w:rsid w:val="00235478"/>
    <w:rsid w:val="00235581"/>
    <w:rsid w:val="00235698"/>
    <w:rsid w:val="002369BA"/>
    <w:rsid w:val="00236F71"/>
    <w:rsid w:val="002373FC"/>
    <w:rsid w:val="002375AD"/>
    <w:rsid w:val="0023762B"/>
    <w:rsid w:val="002376CB"/>
    <w:rsid w:val="00237C6F"/>
    <w:rsid w:val="00237D22"/>
    <w:rsid w:val="0024029F"/>
    <w:rsid w:val="00240956"/>
    <w:rsid w:val="00240B7D"/>
    <w:rsid w:val="00240F65"/>
    <w:rsid w:val="0024103F"/>
    <w:rsid w:val="00241599"/>
    <w:rsid w:val="00241C7B"/>
    <w:rsid w:val="00241D6D"/>
    <w:rsid w:val="002421F2"/>
    <w:rsid w:val="0024222A"/>
    <w:rsid w:val="0024284B"/>
    <w:rsid w:val="0024286B"/>
    <w:rsid w:val="00242B2A"/>
    <w:rsid w:val="00242CAE"/>
    <w:rsid w:val="00243ACD"/>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A62"/>
    <w:rsid w:val="00257C56"/>
    <w:rsid w:val="00260156"/>
    <w:rsid w:val="0026075E"/>
    <w:rsid w:val="002608BD"/>
    <w:rsid w:val="00260FAD"/>
    <w:rsid w:val="00261624"/>
    <w:rsid w:val="002617F6"/>
    <w:rsid w:val="00261914"/>
    <w:rsid w:val="00261D05"/>
    <w:rsid w:val="00261E27"/>
    <w:rsid w:val="002623AC"/>
    <w:rsid w:val="00262979"/>
    <w:rsid w:val="00262CE8"/>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701"/>
    <w:rsid w:val="00265CB1"/>
    <w:rsid w:val="00265E9A"/>
    <w:rsid w:val="00266111"/>
    <w:rsid w:val="00266210"/>
    <w:rsid w:val="002664FA"/>
    <w:rsid w:val="00266537"/>
    <w:rsid w:val="00266867"/>
    <w:rsid w:val="0026716C"/>
    <w:rsid w:val="002672DB"/>
    <w:rsid w:val="00267D1B"/>
    <w:rsid w:val="002706CC"/>
    <w:rsid w:val="00270C63"/>
    <w:rsid w:val="00270C98"/>
    <w:rsid w:val="00270CF1"/>
    <w:rsid w:val="00270E57"/>
    <w:rsid w:val="0027102E"/>
    <w:rsid w:val="002711C3"/>
    <w:rsid w:val="002713CE"/>
    <w:rsid w:val="0027193C"/>
    <w:rsid w:val="00271EEF"/>
    <w:rsid w:val="0027242C"/>
    <w:rsid w:val="00272474"/>
    <w:rsid w:val="0027257A"/>
    <w:rsid w:val="002727F3"/>
    <w:rsid w:val="00272A1D"/>
    <w:rsid w:val="00272C60"/>
    <w:rsid w:val="00272D06"/>
    <w:rsid w:val="00272FEB"/>
    <w:rsid w:val="00273644"/>
    <w:rsid w:val="002738C9"/>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960"/>
    <w:rsid w:val="00280B4A"/>
    <w:rsid w:val="00280FD3"/>
    <w:rsid w:val="0028168F"/>
    <w:rsid w:val="002825CE"/>
    <w:rsid w:val="00282FF4"/>
    <w:rsid w:val="00283165"/>
    <w:rsid w:val="002832E7"/>
    <w:rsid w:val="00283706"/>
    <w:rsid w:val="00283BAA"/>
    <w:rsid w:val="00283C29"/>
    <w:rsid w:val="00283FE3"/>
    <w:rsid w:val="00284B3D"/>
    <w:rsid w:val="00284E7F"/>
    <w:rsid w:val="00284EAD"/>
    <w:rsid w:val="0028550D"/>
    <w:rsid w:val="00285520"/>
    <w:rsid w:val="00285894"/>
    <w:rsid w:val="00285C1F"/>
    <w:rsid w:val="00285E28"/>
    <w:rsid w:val="00286631"/>
    <w:rsid w:val="00286F76"/>
    <w:rsid w:val="00286FA3"/>
    <w:rsid w:val="002872E8"/>
    <w:rsid w:val="00287376"/>
    <w:rsid w:val="0028741C"/>
    <w:rsid w:val="0028775F"/>
    <w:rsid w:val="002877DE"/>
    <w:rsid w:val="002879AD"/>
    <w:rsid w:val="00287C28"/>
    <w:rsid w:val="00287C39"/>
    <w:rsid w:val="00290254"/>
    <w:rsid w:val="00290B24"/>
    <w:rsid w:val="00290C83"/>
    <w:rsid w:val="0029142E"/>
    <w:rsid w:val="002915DA"/>
    <w:rsid w:val="0029178F"/>
    <w:rsid w:val="00291C45"/>
    <w:rsid w:val="00292540"/>
    <w:rsid w:val="00293504"/>
    <w:rsid w:val="0029380E"/>
    <w:rsid w:val="00293C49"/>
    <w:rsid w:val="00294266"/>
    <w:rsid w:val="002944CA"/>
    <w:rsid w:val="00294504"/>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A7F"/>
    <w:rsid w:val="002A1A4F"/>
    <w:rsid w:val="002A1A57"/>
    <w:rsid w:val="002A1DA1"/>
    <w:rsid w:val="002A205B"/>
    <w:rsid w:val="002A2480"/>
    <w:rsid w:val="002A2A75"/>
    <w:rsid w:val="002A2FB8"/>
    <w:rsid w:val="002A31FF"/>
    <w:rsid w:val="002A3668"/>
    <w:rsid w:val="002A3771"/>
    <w:rsid w:val="002A37C5"/>
    <w:rsid w:val="002A3AFD"/>
    <w:rsid w:val="002A3B12"/>
    <w:rsid w:val="002A4102"/>
    <w:rsid w:val="002A4918"/>
    <w:rsid w:val="002A4B7D"/>
    <w:rsid w:val="002A4E20"/>
    <w:rsid w:val="002A520D"/>
    <w:rsid w:val="002A523D"/>
    <w:rsid w:val="002A5FC1"/>
    <w:rsid w:val="002A6EF8"/>
    <w:rsid w:val="002A732C"/>
    <w:rsid w:val="002A7A6A"/>
    <w:rsid w:val="002A7AB4"/>
    <w:rsid w:val="002B07BF"/>
    <w:rsid w:val="002B0805"/>
    <w:rsid w:val="002B0960"/>
    <w:rsid w:val="002B0C99"/>
    <w:rsid w:val="002B0CB5"/>
    <w:rsid w:val="002B10F9"/>
    <w:rsid w:val="002B12C7"/>
    <w:rsid w:val="002B143D"/>
    <w:rsid w:val="002B1482"/>
    <w:rsid w:val="002B1AFA"/>
    <w:rsid w:val="002B21D6"/>
    <w:rsid w:val="002B2C92"/>
    <w:rsid w:val="002B3081"/>
    <w:rsid w:val="002B318B"/>
    <w:rsid w:val="002B32BC"/>
    <w:rsid w:val="002B33DC"/>
    <w:rsid w:val="002B340B"/>
    <w:rsid w:val="002B34AE"/>
    <w:rsid w:val="002B3D90"/>
    <w:rsid w:val="002B453B"/>
    <w:rsid w:val="002B4C39"/>
    <w:rsid w:val="002B4F38"/>
    <w:rsid w:val="002B5D6B"/>
    <w:rsid w:val="002B601A"/>
    <w:rsid w:val="002B61F1"/>
    <w:rsid w:val="002B64FE"/>
    <w:rsid w:val="002B694E"/>
    <w:rsid w:val="002B6D31"/>
    <w:rsid w:val="002B7540"/>
    <w:rsid w:val="002B7D56"/>
    <w:rsid w:val="002C04C2"/>
    <w:rsid w:val="002C0818"/>
    <w:rsid w:val="002C0A1D"/>
    <w:rsid w:val="002C0D11"/>
    <w:rsid w:val="002C138D"/>
    <w:rsid w:val="002C1468"/>
    <w:rsid w:val="002C162E"/>
    <w:rsid w:val="002C1B17"/>
    <w:rsid w:val="002C203A"/>
    <w:rsid w:val="002C2987"/>
    <w:rsid w:val="002C2AE9"/>
    <w:rsid w:val="002C2B29"/>
    <w:rsid w:val="002C2E8A"/>
    <w:rsid w:val="002C2FCD"/>
    <w:rsid w:val="002C369F"/>
    <w:rsid w:val="002C3AE4"/>
    <w:rsid w:val="002C3E89"/>
    <w:rsid w:val="002C42AA"/>
    <w:rsid w:val="002C4AF6"/>
    <w:rsid w:val="002C4F7C"/>
    <w:rsid w:val="002C514E"/>
    <w:rsid w:val="002C5236"/>
    <w:rsid w:val="002C5533"/>
    <w:rsid w:val="002C5620"/>
    <w:rsid w:val="002C5A6B"/>
    <w:rsid w:val="002C61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2B4E"/>
    <w:rsid w:val="002D2B91"/>
    <w:rsid w:val="002D3968"/>
    <w:rsid w:val="002D425A"/>
    <w:rsid w:val="002D4314"/>
    <w:rsid w:val="002D4327"/>
    <w:rsid w:val="002D4A54"/>
    <w:rsid w:val="002D4BF4"/>
    <w:rsid w:val="002D4C49"/>
    <w:rsid w:val="002D4E37"/>
    <w:rsid w:val="002D52E0"/>
    <w:rsid w:val="002D58D2"/>
    <w:rsid w:val="002D5DEA"/>
    <w:rsid w:val="002D6127"/>
    <w:rsid w:val="002D61BE"/>
    <w:rsid w:val="002D621B"/>
    <w:rsid w:val="002D6497"/>
    <w:rsid w:val="002D7235"/>
    <w:rsid w:val="002D76E8"/>
    <w:rsid w:val="002E07F8"/>
    <w:rsid w:val="002E0E94"/>
    <w:rsid w:val="002E15A5"/>
    <w:rsid w:val="002E16BC"/>
    <w:rsid w:val="002E2098"/>
    <w:rsid w:val="002E22BC"/>
    <w:rsid w:val="002E25D2"/>
    <w:rsid w:val="002E2738"/>
    <w:rsid w:val="002E2923"/>
    <w:rsid w:val="002E2A76"/>
    <w:rsid w:val="002E306D"/>
    <w:rsid w:val="002E3653"/>
    <w:rsid w:val="002E37EE"/>
    <w:rsid w:val="002E38B7"/>
    <w:rsid w:val="002E4301"/>
    <w:rsid w:val="002E4D3C"/>
    <w:rsid w:val="002E58E1"/>
    <w:rsid w:val="002E5BDD"/>
    <w:rsid w:val="002E5C56"/>
    <w:rsid w:val="002E5C6E"/>
    <w:rsid w:val="002E5D86"/>
    <w:rsid w:val="002E5DD7"/>
    <w:rsid w:val="002E6112"/>
    <w:rsid w:val="002E67C7"/>
    <w:rsid w:val="002E6809"/>
    <w:rsid w:val="002E74DB"/>
    <w:rsid w:val="002E7B2B"/>
    <w:rsid w:val="002F0045"/>
    <w:rsid w:val="002F00F0"/>
    <w:rsid w:val="002F0248"/>
    <w:rsid w:val="002F025B"/>
    <w:rsid w:val="002F0684"/>
    <w:rsid w:val="002F09C0"/>
    <w:rsid w:val="002F0ADB"/>
    <w:rsid w:val="002F0AFC"/>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AC6"/>
    <w:rsid w:val="002F6BDA"/>
    <w:rsid w:val="002F7919"/>
    <w:rsid w:val="002F7B6D"/>
    <w:rsid w:val="002F7D48"/>
    <w:rsid w:val="002F7EC5"/>
    <w:rsid w:val="00300085"/>
    <w:rsid w:val="0030027C"/>
    <w:rsid w:val="003003AD"/>
    <w:rsid w:val="00300789"/>
    <w:rsid w:val="00300A73"/>
    <w:rsid w:val="003011C0"/>
    <w:rsid w:val="00301DA6"/>
    <w:rsid w:val="00301EE4"/>
    <w:rsid w:val="003024DE"/>
    <w:rsid w:val="00302701"/>
    <w:rsid w:val="00302739"/>
    <w:rsid w:val="00302B48"/>
    <w:rsid w:val="00302EDE"/>
    <w:rsid w:val="00302FEF"/>
    <w:rsid w:val="0030318E"/>
    <w:rsid w:val="00303687"/>
    <w:rsid w:val="00304556"/>
    <w:rsid w:val="00304AC5"/>
    <w:rsid w:val="00304C9E"/>
    <w:rsid w:val="003065FB"/>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2709"/>
    <w:rsid w:val="00313765"/>
    <w:rsid w:val="003137A0"/>
    <w:rsid w:val="00313B09"/>
    <w:rsid w:val="00313B45"/>
    <w:rsid w:val="00313BC1"/>
    <w:rsid w:val="00313C4F"/>
    <w:rsid w:val="003141C2"/>
    <w:rsid w:val="00314CBB"/>
    <w:rsid w:val="003155C5"/>
    <w:rsid w:val="0031599D"/>
    <w:rsid w:val="00315C95"/>
    <w:rsid w:val="00315EB9"/>
    <w:rsid w:val="00316064"/>
    <w:rsid w:val="00316420"/>
    <w:rsid w:val="00316ACE"/>
    <w:rsid w:val="00316C58"/>
    <w:rsid w:val="00316EAE"/>
    <w:rsid w:val="00317050"/>
    <w:rsid w:val="003170E0"/>
    <w:rsid w:val="00317625"/>
    <w:rsid w:val="0031767A"/>
    <w:rsid w:val="00317731"/>
    <w:rsid w:val="00317746"/>
    <w:rsid w:val="00317C5E"/>
    <w:rsid w:val="0032013F"/>
    <w:rsid w:val="0032018E"/>
    <w:rsid w:val="00320795"/>
    <w:rsid w:val="00320B1B"/>
    <w:rsid w:val="00320F1B"/>
    <w:rsid w:val="0032151E"/>
    <w:rsid w:val="0032172E"/>
    <w:rsid w:val="00321822"/>
    <w:rsid w:val="00321B02"/>
    <w:rsid w:val="00321F33"/>
    <w:rsid w:val="00322219"/>
    <w:rsid w:val="00322BC3"/>
    <w:rsid w:val="00322C2B"/>
    <w:rsid w:val="00322E3B"/>
    <w:rsid w:val="00323123"/>
    <w:rsid w:val="00323438"/>
    <w:rsid w:val="00323A78"/>
    <w:rsid w:val="00323FAD"/>
    <w:rsid w:val="00324089"/>
    <w:rsid w:val="0032441B"/>
    <w:rsid w:val="00324701"/>
    <w:rsid w:val="0032489D"/>
    <w:rsid w:val="003249F8"/>
    <w:rsid w:val="0032556B"/>
    <w:rsid w:val="00325CB3"/>
    <w:rsid w:val="0032651E"/>
    <w:rsid w:val="003267F9"/>
    <w:rsid w:val="00326C67"/>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41A"/>
    <w:rsid w:val="00332962"/>
    <w:rsid w:val="0033451A"/>
    <w:rsid w:val="00334CE7"/>
    <w:rsid w:val="00335250"/>
    <w:rsid w:val="00335670"/>
    <w:rsid w:val="0033572D"/>
    <w:rsid w:val="0033592C"/>
    <w:rsid w:val="00335E2A"/>
    <w:rsid w:val="003365FB"/>
    <w:rsid w:val="0033677C"/>
    <w:rsid w:val="00336780"/>
    <w:rsid w:val="003367C5"/>
    <w:rsid w:val="00336DAD"/>
    <w:rsid w:val="00336DB3"/>
    <w:rsid w:val="00337065"/>
    <w:rsid w:val="00337C71"/>
    <w:rsid w:val="00340CC6"/>
    <w:rsid w:val="00340E58"/>
    <w:rsid w:val="00341087"/>
    <w:rsid w:val="00341706"/>
    <w:rsid w:val="003422B1"/>
    <w:rsid w:val="0034230E"/>
    <w:rsid w:val="0034246D"/>
    <w:rsid w:val="0034305B"/>
    <w:rsid w:val="0034324F"/>
    <w:rsid w:val="00343A58"/>
    <w:rsid w:val="00343C24"/>
    <w:rsid w:val="00343FA6"/>
    <w:rsid w:val="00344433"/>
    <w:rsid w:val="00344725"/>
    <w:rsid w:val="00344901"/>
    <w:rsid w:val="0034511B"/>
    <w:rsid w:val="0034745C"/>
    <w:rsid w:val="003474CD"/>
    <w:rsid w:val="003476A5"/>
    <w:rsid w:val="0034796F"/>
    <w:rsid w:val="003479B6"/>
    <w:rsid w:val="00347BBA"/>
    <w:rsid w:val="00347C47"/>
    <w:rsid w:val="0035017E"/>
    <w:rsid w:val="0035025F"/>
    <w:rsid w:val="0035041A"/>
    <w:rsid w:val="003505AD"/>
    <w:rsid w:val="00350631"/>
    <w:rsid w:val="00350846"/>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D2"/>
    <w:rsid w:val="003536C6"/>
    <w:rsid w:val="003539B2"/>
    <w:rsid w:val="00353BED"/>
    <w:rsid w:val="00353D8A"/>
    <w:rsid w:val="0035414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7B5"/>
    <w:rsid w:val="0036185C"/>
    <w:rsid w:val="00361B1A"/>
    <w:rsid w:val="0036227D"/>
    <w:rsid w:val="00362585"/>
    <w:rsid w:val="0036262C"/>
    <w:rsid w:val="003626A7"/>
    <w:rsid w:val="00362C5A"/>
    <w:rsid w:val="00363539"/>
    <w:rsid w:val="003635B6"/>
    <w:rsid w:val="00363AE6"/>
    <w:rsid w:val="00363C06"/>
    <w:rsid w:val="00363FC9"/>
    <w:rsid w:val="00365023"/>
    <w:rsid w:val="00365644"/>
    <w:rsid w:val="0036590C"/>
    <w:rsid w:val="00365B66"/>
    <w:rsid w:val="00366428"/>
    <w:rsid w:val="003665C5"/>
    <w:rsid w:val="00366B3A"/>
    <w:rsid w:val="00366D7F"/>
    <w:rsid w:val="00367606"/>
    <w:rsid w:val="00367681"/>
    <w:rsid w:val="00370285"/>
    <w:rsid w:val="00370499"/>
    <w:rsid w:val="003704BC"/>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C80"/>
    <w:rsid w:val="00374F06"/>
    <w:rsid w:val="00375222"/>
    <w:rsid w:val="00375D22"/>
    <w:rsid w:val="00375FFC"/>
    <w:rsid w:val="003764FA"/>
    <w:rsid w:val="00376838"/>
    <w:rsid w:val="00376856"/>
    <w:rsid w:val="00376E0C"/>
    <w:rsid w:val="0037709A"/>
    <w:rsid w:val="00377146"/>
    <w:rsid w:val="003771CA"/>
    <w:rsid w:val="00377397"/>
    <w:rsid w:val="0037757C"/>
    <w:rsid w:val="003775BD"/>
    <w:rsid w:val="00380543"/>
    <w:rsid w:val="00380602"/>
    <w:rsid w:val="00380775"/>
    <w:rsid w:val="00380789"/>
    <w:rsid w:val="00380892"/>
    <w:rsid w:val="00380BBD"/>
    <w:rsid w:val="00381E76"/>
    <w:rsid w:val="003821E7"/>
    <w:rsid w:val="00382903"/>
    <w:rsid w:val="00382C45"/>
    <w:rsid w:val="00383142"/>
    <w:rsid w:val="00383D4B"/>
    <w:rsid w:val="00383DDB"/>
    <w:rsid w:val="003842A8"/>
    <w:rsid w:val="00384747"/>
    <w:rsid w:val="003848D9"/>
    <w:rsid w:val="00384BC0"/>
    <w:rsid w:val="003852CC"/>
    <w:rsid w:val="00385A70"/>
    <w:rsid w:val="00385B54"/>
    <w:rsid w:val="00385BD7"/>
    <w:rsid w:val="00385D47"/>
    <w:rsid w:val="00386688"/>
    <w:rsid w:val="00386A15"/>
    <w:rsid w:val="00386B71"/>
    <w:rsid w:val="00386BBF"/>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42B"/>
    <w:rsid w:val="00391A92"/>
    <w:rsid w:val="00391C99"/>
    <w:rsid w:val="00392080"/>
    <w:rsid w:val="003926BE"/>
    <w:rsid w:val="003929A7"/>
    <w:rsid w:val="00392A1F"/>
    <w:rsid w:val="00392DB8"/>
    <w:rsid w:val="00393A04"/>
    <w:rsid w:val="00393A68"/>
    <w:rsid w:val="00393B78"/>
    <w:rsid w:val="003946B1"/>
    <w:rsid w:val="00394775"/>
    <w:rsid w:val="00394948"/>
    <w:rsid w:val="00394B44"/>
    <w:rsid w:val="00394D6C"/>
    <w:rsid w:val="0039502C"/>
    <w:rsid w:val="0039511F"/>
    <w:rsid w:val="00395444"/>
    <w:rsid w:val="003956FE"/>
    <w:rsid w:val="003958F1"/>
    <w:rsid w:val="0039598F"/>
    <w:rsid w:val="0039610F"/>
    <w:rsid w:val="003962EC"/>
    <w:rsid w:val="003965AE"/>
    <w:rsid w:val="0039665F"/>
    <w:rsid w:val="00396806"/>
    <w:rsid w:val="00396BBB"/>
    <w:rsid w:val="00397292"/>
    <w:rsid w:val="00397650"/>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D5"/>
    <w:rsid w:val="003A1FCC"/>
    <w:rsid w:val="003A2019"/>
    <w:rsid w:val="003A22FA"/>
    <w:rsid w:val="003A2602"/>
    <w:rsid w:val="003A2D39"/>
    <w:rsid w:val="003A2FE7"/>
    <w:rsid w:val="003A3006"/>
    <w:rsid w:val="003A305A"/>
    <w:rsid w:val="003A349E"/>
    <w:rsid w:val="003A42BB"/>
    <w:rsid w:val="003A42C3"/>
    <w:rsid w:val="003A44AA"/>
    <w:rsid w:val="003A45FB"/>
    <w:rsid w:val="003A48FC"/>
    <w:rsid w:val="003A4E82"/>
    <w:rsid w:val="003A523B"/>
    <w:rsid w:val="003A5865"/>
    <w:rsid w:val="003A590E"/>
    <w:rsid w:val="003A5E37"/>
    <w:rsid w:val="003A6330"/>
    <w:rsid w:val="003A6619"/>
    <w:rsid w:val="003A71E1"/>
    <w:rsid w:val="003A76A9"/>
    <w:rsid w:val="003A7747"/>
    <w:rsid w:val="003B020A"/>
    <w:rsid w:val="003B0299"/>
    <w:rsid w:val="003B0666"/>
    <w:rsid w:val="003B0B4D"/>
    <w:rsid w:val="003B0E43"/>
    <w:rsid w:val="003B1042"/>
    <w:rsid w:val="003B147D"/>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0D10"/>
    <w:rsid w:val="003C10B8"/>
    <w:rsid w:val="003C2C9D"/>
    <w:rsid w:val="003C3498"/>
    <w:rsid w:val="003C3B73"/>
    <w:rsid w:val="003C3D6E"/>
    <w:rsid w:val="003C3F8B"/>
    <w:rsid w:val="003C4213"/>
    <w:rsid w:val="003C4250"/>
    <w:rsid w:val="003C44DB"/>
    <w:rsid w:val="003C4747"/>
    <w:rsid w:val="003C4CA3"/>
    <w:rsid w:val="003C4F25"/>
    <w:rsid w:val="003C5268"/>
    <w:rsid w:val="003C64CD"/>
    <w:rsid w:val="003C6580"/>
    <w:rsid w:val="003C6A1C"/>
    <w:rsid w:val="003C6CCB"/>
    <w:rsid w:val="003C6DA9"/>
    <w:rsid w:val="003C7855"/>
    <w:rsid w:val="003D0240"/>
    <w:rsid w:val="003D06A7"/>
    <w:rsid w:val="003D0868"/>
    <w:rsid w:val="003D09DA"/>
    <w:rsid w:val="003D0D75"/>
    <w:rsid w:val="003D1F11"/>
    <w:rsid w:val="003D2254"/>
    <w:rsid w:val="003D22AC"/>
    <w:rsid w:val="003D2339"/>
    <w:rsid w:val="003D24B7"/>
    <w:rsid w:val="003D26AA"/>
    <w:rsid w:val="003D2E43"/>
    <w:rsid w:val="003D3B88"/>
    <w:rsid w:val="003D3EBB"/>
    <w:rsid w:val="003D3EE3"/>
    <w:rsid w:val="003D410B"/>
    <w:rsid w:val="003D4113"/>
    <w:rsid w:val="003D4350"/>
    <w:rsid w:val="003D4409"/>
    <w:rsid w:val="003D4C42"/>
    <w:rsid w:val="003D4E4F"/>
    <w:rsid w:val="003D519A"/>
    <w:rsid w:val="003D5717"/>
    <w:rsid w:val="003D5878"/>
    <w:rsid w:val="003D59FE"/>
    <w:rsid w:val="003D5A4E"/>
    <w:rsid w:val="003D63BA"/>
    <w:rsid w:val="003D680E"/>
    <w:rsid w:val="003D69BE"/>
    <w:rsid w:val="003D69ED"/>
    <w:rsid w:val="003D6B43"/>
    <w:rsid w:val="003D740C"/>
    <w:rsid w:val="003D74C7"/>
    <w:rsid w:val="003D79E8"/>
    <w:rsid w:val="003E089F"/>
    <w:rsid w:val="003E0974"/>
    <w:rsid w:val="003E0ADB"/>
    <w:rsid w:val="003E0BEF"/>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2C10"/>
    <w:rsid w:val="003F348A"/>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41A"/>
    <w:rsid w:val="00400427"/>
    <w:rsid w:val="00400615"/>
    <w:rsid w:val="00400D86"/>
    <w:rsid w:val="004010EF"/>
    <w:rsid w:val="004017C6"/>
    <w:rsid w:val="00401EE0"/>
    <w:rsid w:val="00401EE4"/>
    <w:rsid w:val="004021B5"/>
    <w:rsid w:val="004022A2"/>
    <w:rsid w:val="004024AB"/>
    <w:rsid w:val="00402DC4"/>
    <w:rsid w:val="00402F2C"/>
    <w:rsid w:val="0040303D"/>
    <w:rsid w:val="004030E5"/>
    <w:rsid w:val="0040379F"/>
    <w:rsid w:val="00403805"/>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837"/>
    <w:rsid w:val="00407DC9"/>
    <w:rsid w:val="0041029D"/>
    <w:rsid w:val="004102A7"/>
    <w:rsid w:val="00411230"/>
    <w:rsid w:val="00411662"/>
    <w:rsid w:val="004116C3"/>
    <w:rsid w:val="004118C9"/>
    <w:rsid w:val="00411C9D"/>
    <w:rsid w:val="0041249C"/>
    <w:rsid w:val="00412697"/>
    <w:rsid w:val="00413369"/>
    <w:rsid w:val="00413BB3"/>
    <w:rsid w:val="004145AE"/>
    <w:rsid w:val="004147F4"/>
    <w:rsid w:val="00414C3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2D4"/>
    <w:rsid w:val="00423326"/>
    <w:rsid w:val="00424844"/>
    <w:rsid w:val="00424AE0"/>
    <w:rsid w:val="004251F8"/>
    <w:rsid w:val="004253B1"/>
    <w:rsid w:val="004255F7"/>
    <w:rsid w:val="00425BB8"/>
    <w:rsid w:val="00425C97"/>
    <w:rsid w:val="00425FFD"/>
    <w:rsid w:val="004262F8"/>
    <w:rsid w:val="00426442"/>
    <w:rsid w:val="0042654A"/>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1149"/>
    <w:rsid w:val="0043189C"/>
    <w:rsid w:val="004318FF"/>
    <w:rsid w:val="00431C52"/>
    <w:rsid w:val="00431CB1"/>
    <w:rsid w:val="00431DB5"/>
    <w:rsid w:val="0043270B"/>
    <w:rsid w:val="00432780"/>
    <w:rsid w:val="00432F8F"/>
    <w:rsid w:val="00432F9E"/>
    <w:rsid w:val="00433106"/>
    <w:rsid w:val="00433B47"/>
    <w:rsid w:val="00433D8A"/>
    <w:rsid w:val="00434066"/>
    <w:rsid w:val="00434074"/>
    <w:rsid w:val="00434214"/>
    <w:rsid w:val="00434754"/>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5AF"/>
    <w:rsid w:val="00436696"/>
    <w:rsid w:val="00436A3B"/>
    <w:rsid w:val="00436DE5"/>
    <w:rsid w:val="004371AB"/>
    <w:rsid w:val="00437895"/>
    <w:rsid w:val="00437E77"/>
    <w:rsid w:val="004402A7"/>
    <w:rsid w:val="0044035D"/>
    <w:rsid w:val="00440850"/>
    <w:rsid w:val="00440EA5"/>
    <w:rsid w:val="0044142F"/>
    <w:rsid w:val="00441444"/>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EB4"/>
    <w:rsid w:val="00444F5E"/>
    <w:rsid w:val="00445513"/>
    <w:rsid w:val="00445625"/>
    <w:rsid w:val="00445907"/>
    <w:rsid w:val="00445CFF"/>
    <w:rsid w:val="004462AF"/>
    <w:rsid w:val="00446424"/>
    <w:rsid w:val="0044662A"/>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42D"/>
    <w:rsid w:val="00457C5E"/>
    <w:rsid w:val="00460171"/>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EE0"/>
    <w:rsid w:val="00465180"/>
    <w:rsid w:val="00465235"/>
    <w:rsid w:val="00465467"/>
    <w:rsid w:val="00465573"/>
    <w:rsid w:val="00465EB3"/>
    <w:rsid w:val="004665D2"/>
    <w:rsid w:val="0047041E"/>
    <w:rsid w:val="00470628"/>
    <w:rsid w:val="00470750"/>
    <w:rsid w:val="00470893"/>
    <w:rsid w:val="0047166D"/>
    <w:rsid w:val="00471856"/>
    <w:rsid w:val="00471DB0"/>
    <w:rsid w:val="00471FAB"/>
    <w:rsid w:val="0047253B"/>
    <w:rsid w:val="00472ACB"/>
    <w:rsid w:val="004735E8"/>
    <w:rsid w:val="004737D3"/>
    <w:rsid w:val="00473F5F"/>
    <w:rsid w:val="00474076"/>
    <w:rsid w:val="0047410D"/>
    <w:rsid w:val="0047475B"/>
    <w:rsid w:val="00475260"/>
    <w:rsid w:val="0047539C"/>
    <w:rsid w:val="004753D8"/>
    <w:rsid w:val="004755D5"/>
    <w:rsid w:val="00475674"/>
    <w:rsid w:val="00475BC8"/>
    <w:rsid w:val="00475BCB"/>
    <w:rsid w:val="00475E50"/>
    <w:rsid w:val="00475E54"/>
    <w:rsid w:val="00475F90"/>
    <w:rsid w:val="004760DD"/>
    <w:rsid w:val="00476549"/>
    <w:rsid w:val="00476D14"/>
    <w:rsid w:val="00476D8B"/>
    <w:rsid w:val="00476E98"/>
    <w:rsid w:val="00476EAE"/>
    <w:rsid w:val="004774C5"/>
    <w:rsid w:val="004774F0"/>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730"/>
    <w:rsid w:val="00483D11"/>
    <w:rsid w:val="00483D20"/>
    <w:rsid w:val="0048406D"/>
    <w:rsid w:val="0048495A"/>
    <w:rsid w:val="00484C46"/>
    <w:rsid w:val="00484DC1"/>
    <w:rsid w:val="004852E8"/>
    <w:rsid w:val="004853E9"/>
    <w:rsid w:val="00485460"/>
    <w:rsid w:val="004856EF"/>
    <w:rsid w:val="0048598C"/>
    <w:rsid w:val="00485998"/>
    <w:rsid w:val="00485A0B"/>
    <w:rsid w:val="00485E8A"/>
    <w:rsid w:val="004862DE"/>
    <w:rsid w:val="004864FB"/>
    <w:rsid w:val="004869B5"/>
    <w:rsid w:val="00486C70"/>
    <w:rsid w:val="00486FA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57C"/>
    <w:rsid w:val="00497C03"/>
    <w:rsid w:val="00497D6A"/>
    <w:rsid w:val="00497EF8"/>
    <w:rsid w:val="004A01E1"/>
    <w:rsid w:val="004A0A72"/>
    <w:rsid w:val="004A0E00"/>
    <w:rsid w:val="004A15F7"/>
    <w:rsid w:val="004A1600"/>
    <w:rsid w:val="004A192B"/>
    <w:rsid w:val="004A1AE5"/>
    <w:rsid w:val="004A1D7B"/>
    <w:rsid w:val="004A201F"/>
    <w:rsid w:val="004A21BF"/>
    <w:rsid w:val="004A23B8"/>
    <w:rsid w:val="004A23C0"/>
    <w:rsid w:val="004A28D4"/>
    <w:rsid w:val="004A2908"/>
    <w:rsid w:val="004A2BE1"/>
    <w:rsid w:val="004A2C52"/>
    <w:rsid w:val="004A2E44"/>
    <w:rsid w:val="004A328E"/>
    <w:rsid w:val="004A32C1"/>
    <w:rsid w:val="004A366E"/>
    <w:rsid w:val="004A36C0"/>
    <w:rsid w:val="004A38D2"/>
    <w:rsid w:val="004A3AA3"/>
    <w:rsid w:val="004A3CB9"/>
    <w:rsid w:val="004A4625"/>
    <w:rsid w:val="004A4900"/>
    <w:rsid w:val="004A4D38"/>
    <w:rsid w:val="004A4E7E"/>
    <w:rsid w:val="004A4E95"/>
    <w:rsid w:val="004A4EB4"/>
    <w:rsid w:val="004A51FA"/>
    <w:rsid w:val="004A5270"/>
    <w:rsid w:val="004A566F"/>
    <w:rsid w:val="004A57FC"/>
    <w:rsid w:val="004A5D36"/>
    <w:rsid w:val="004A5EAE"/>
    <w:rsid w:val="004A6011"/>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A43"/>
    <w:rsid w:val="004B1C42"/>
    <w:rsid w:val="004B1D3F"/>
    <w:rsid w:val="004B1FFB"/>
    <w:rsid w:val="004B2700"/>
    <w:rsid w:val="004B2B31"/>
    <w:rsid w:val="004B2C33"/>
    <w:rsid w:val="004B2CDB"/>
    <w:rsid w:val="004B2DE8"/>
    <w:rsid w:val="004B2F6E"/>
    <w:rsid w:val="004B3795"/>
    <w:rsid w:val="004B3C3F"/>
    <w:rsid w:val="004B406A"/>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3D6"/>
    <w:rsid w:val="004C660B"/>
    <w:rsid w:val="004C7081"/>
    <w:rsid w:val="004C7305"/>
    <w:rsid w:val="004C730E"/>
    <w:rsid w:val="004C75DA"/>
    <w:rsid w:val="004C7739"/>
    <w:rsid w:val="004C7985"/>
    <w:rsid w:val="004C7A3A"/>
    <w:rsid w:val="004C7BDF"/>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1"/>
    <w:rsid w:val="004D40D5"/>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E0033"/>
    <w:rsid w:val="004E00F1"/>
    <w:rsid w:val="004E0211"/>
    <w:rsid w:val="004E03BE"/>
    <w:rsid w:val="004E03F3"/>
    <w:rsid w:val="004E0459"/>
    <w:rsid w:val="004E0540"/>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92"/>
    <w:rsid w:val="004E76A5"/>
    <w:rsid w:val="004E7B7F"/>
    <w:rsid w:val="004E7EF9"/>
    <w:rsid w:val="004F01B4"/>
    <w:rsid w:val="004F020A"/>
    <w:rsid w:val="004F054A"/>
    <w:rsid w:val="004F1115"/>
    <w:rsid w:val="004F133C"/>
    <w:rsid w:val="004F13D2"/>
    <w:rsid w:val="004F1443"/>
    <w:rsid w:val="004F152A"/>
    <w:rsid w:val="004F1633"/>
    <w:rsid w:val="004F180E"/>
    <w:rsid w:val="004F18ED"/>
    <w:rsid w:val="004F198B"/>
    <w:rsid w:val="004F1A00"/>
    <w:rsid w:val="004F1AEF"/>
    <w:rsid w:val="004F2826"/>
    <w:rsid w:val="004F2AA6"/>
    <w:rsid w:val="004F2B9C"/>
    <w:rsid w:val="004F2CCE"/>
    <w:rsid w:val="004F359A"/>
    <w:rsid w:val="004F3D6D"/>
    <w:rsid w:val="004F3DD1"/>
    <w:rsid w:val="004F4B9E"/>
    <w:rsid w:val="004F4E53"/>
    <w:rsid w:val="004F58AB"/>
    <w:rsid w:val="004F5D6E"/>
    <w:rsid w:val="004F5EBB"/>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797"/>
    <w:rsid w:val="00502857"/>
    <w:rsid w:val="005029A2"/>
    <w:rsid w:val="00502FCA"/>
    <w:rsid w:val="00503195"/>
    <w:rsid w:val="005033EE"/>
    <w:rsid w:val="00503421"/>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A3"/>
    <w:rsid w:val="0051092A"/>
    <w:rsid w:val="00510939"/>
    <w:rsid w:val="00510D19"/>
    <w:rsid w:val="00511599"/>
    <w:rsid w:val="005119D6"/>
    <w:rsid w:val="00511E67"/>
    <w:rsid w:val="00512404"/>
    <w:rsid w:val="00512747"/>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D65"/>
    <w:rsid w:val="00521DD9"/>
    <w:rsid w:val="005221A4"/>
    <w:rsid w:val="00522201"/>
    <w:rsid w:val="005224E2"/>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72A8"/>
    <w:rsid w:val="00527489"/>
    <w:rsid w:val="00527860"/>
    <w:rsid w:val="00527A58"/>
    <w:rsid w:val="0053012B"/>
    <w:rsid w:val="0053066C"/>
    <w:rsid w:val="00530911"/>
    <w:rsid w:val="00530AFD"/>
    <w:rsid w:val="00531249"/>
    <w:rsid w:val="00531562"/>
    <w:rsid w:val="0053173A"/>
    <w:rsid w:val="00531824"/>
    <w:rsid w:val="00531AF4"/>
    <w:rsid w:val="00531EA2"/>
    <w:rsid w:val="00531F71"/>
    <w:rsid w:val="005321BF"/>
    <w:rsid w:val="00532292"/>
    <w:rsid w:val="00532462"/>
    <w:rsid w:val="00532B16"/>
    <w:rsid w:val="00532C9D"/>
    <w:rsid w:val="00533215"/>
    <w:rsid w:val="005334E4"/>
    <w:rsid w:val="0053393D"/>
    <w:rsid w:val="00533BD2"/>
    <w:rsid w:val="00533C61"/>
    <w:rsid w:val="00533F4E"/>
    <w:rsid w:val="00533F77"/>
    <w:rsid w:val="00534238"/>
    <w:rsid w:val="005347FB"/>
    <w:rsid w:val="00534963"/>
    <w:rsid w:val="005349EB"/>
    <w:rsid w:val="00534AA6"/>
    <w:rsid w:val="00534C83"/>
    <w:rsid w:val="00534EE4"/>
    <w:rsid w:val="00534EE7"/>
    <w:rsid w:val="00535A27"/>
    <w:rsid w:val="00535B60"/>
    <w:rsid w:val="00536189"/>
    <w:rsid w:val="005368CB"/>
    <w:rsid w:val="00536AEE"/>
    <w:rsid w:val="00536D47"/>
    <w:rsid w:val="00537092"/>
    <w:rsid w:val="00537354"/>
    <w:rsid w:val="00537640"/>
    <w:rsid w:val="005378AB"/>
    <w:rsid w:val="00537989"/>
    <w:rsid w:val="00537BE9"/>
    <w:rsid w:val="00537FB8"/>
    <w:rsid w:val="00540055"/>
    <w:rsid w:val="00540147"/>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2BA"/>
    <w:rsid w:val="00546310"/>
    <w:rsid w:val="0054650F"/>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E52"/>
    <w:rsid w:val="00552038"/>
    <w:rsid w:val="0055233E"/>
    <w:rsid w:val="00552352"/>
    <w:rsid w:val="00552569"/>
    <w:rsid w:val="005528E1"/>
    <w:rsid w:val="00552E20"/>
    <w:rsid w:val="00552FF4"/>
    <w:rsid w:val="005538D7"/>
    <w:rsid w:val="00553A48"/>
    <w:rsid w:val="00553ABB"/>
    <w:rsid w:val="0055410A"/>
    <w:rsid w:val="0055459C"/>
    <w:rsid w:val="005546A4"/>
    <w:rsid w:val="005547CB"/>
    <w:rsid w:val="00554DF7"/>
    <w:rsid w:val="005552B9"/>
    <w:rsid w:val="00555520"/>
    <w:rsid w:val="00555713"/>
    <w:rsid w:val="00555772"/>
    <w:rsid w:val="00555D6F"/>
    <w:rsid w:val="00556680"/>
    <w:rsid w:val="005567BF"/>
    <w:rsid w:val="00556808"/>
    <w:rsid w:val="005569D2"/>
    <w:rsid w:val="00556B35"/>
    <w:rsid w:val="00556F79"/>
    <w:rsid w:val="005570E7"/>
    <w:rsid w:val="0055718D"/>
    <w:rsid w:val="00557464"/>
    <w:rsid w:val="0055771C"/>
    <w:rsid w:val="00557A2C"/>
    <w:rsid w:val="00557CAB"/>
    <w:rsid w:val="00557D87"/>
    <w:rsid w:val="00560096"/>
    <w:rsid w:val="00560AC9"/>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D52"/>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6BD"/>
    <w:rsid w:val="00575813"/>
    <w:rsid w:val="00575CDD"/>
    <w:rsid w:val="00575D32"/>
    <w:rsid w:val="00575F2F"/>
    <w:rsid w:val="005760C5"/>
    <w:rsid w:val="00576574"/>
    <w:rsid w:val="0057666F"/>
    <w:rsid w:val="005766EA"/>
    <w:rsid w:val="00576A37"/>
    <w:rsid w:val="00576CBA"/>
    <w:rsid w:val="00577368"/>
    <w:rsid w:val="005773FF"/>
    <w:rsid w:val="00577540"/>
    <w:rsid w:val="00577754"/>
    <w:rsid w:val="005777AC"/>
    <w:rsid w:val="005777B2"/>
    <w:rsid w:val="00577BBD"/>
    <w:rsid w:val="00577EB4"/>
    <w:rsid w:val="00577F34"/>
    <w:rsid w:val="00580293"/>
    <w:rsid w:val="00580CFE"/>
    <w:rsid w:val="00581081"/>
    <w:rsid w:val="005815D2"/>
    <w:rsid w:val="005818D4"/>
    <w:rsid w:val="005819D7"/>
    <w:rsid w:val="00581AB8"/>
    <w:rsid w:val="00581B2E"/>
    <w:rsid w:val="00581C6E"/>
    <w:rsid w:val="00581F40"/>
    <w:rsid w:val="0058299F"/>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806"/>
    <w:rsid w:val="00586B34"/>
    <w:rsid w:val="00587117"/>
    <w:rsid w:val="0058759B"/>
    <w:rsid w:val="0058764D"/>
    <w:rsid w:val="005909AD"/>
    <w:rsid w:val="00590BF6"/>
    <w:rsid w:val="00591B9C"/>
    <w:rsid w:val="00592083"/>
    <w:rsid w:val="00592160"/>
    <w:rsid w:val="005923C9"/>
    <w:rsid w:val="005925C1"/>
    <w:rsid w:val="0059284F"/>
    <w:rsid w:val="00592D26"/>
    <w:rsid w:val="00592DBC"/>
    <w:rsid w:val="00592E68"/>
    <w:rsid w:val="0059323A"/>
    <w:rsid w:val="00593447"/>
    <w:rsid w:val="00594131"/>
    <w:rsid w:val="005943C6"/>
    <w:rsid w:val="005946E2"/>
    <w:rsid w:val="0059486C"/>
    <w:rsid w:val="00595308"/>
    <w:rsid w:val="00595639"/>
    <w:rsid w:val="00595777"/>
    <w:rsid w:val="00595DA2"/>
    <w:rsid w:val="00595E51"/>
    <w:rsid w:val="00595E99"/>
    <w:rsid w:val="00596308"/>
    <w:rsid w:val="00596757"/>
    <w:rsid w:val="005968C4"/>
    <w:rsid w:val="0059715B"/>
    <w:rsid w:val="00597605"/>
    <w:rsid w:val="005978AF"/>
    <w:rsid w:val="00597A36"/>
    <w:rsid w:val="00597B30"/>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47C"/>
    <w:rsid w:val="005A46BD"/>
    <w:rsid w:val="005A53FA"/>
    <w:rsid w:val="005A588D"/>
    <w:rsid w:val="005A59CF"/>
    <w:rsid w:val="005A5B54"/>
    <w:rsid w:val="005A5D58"/>
    <w:rsid w:val="005A670B"/>
    <w:rsid w:val="005A6965"/>
    <w:rsid w:val="005A6A3A"/>
    <w:rsid w:val="005A6E87"/>
    <w:rsid w:val="005A7F72"/>
    <w:rsid w:val="005B0979"/>
    <w:rsid w:val="005B0A7D"/>
    <w:rsid w:val="005B0F18"/>
    <w:rsid w:val="005B1197"/>
    <w:rsid w:val="005B16CC"/>
    <w:rsid w:val="005B18BB"/>
    <w:rsid w:val="005B2228"/>
    <w:rsid w:val="005B2899"/>
    <w:rsid w:val="005B2DA2"/>
    <w:rsid w:val="005B2EB8"/>
    <w:rsid w:val="005B330D"/>
    <w:rsid w:val="005B355C"/>
    <w:rsid w:val="005B3C7C"/>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980"/>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A2"/>
    <w:rsid w:val="005D25D7"/>
    <w:rsid w:val="005D2A49"/>
    <w:rsid w:val="005D2CB0"/>
    <w:rsid w:val="005D2EE8"/>
    <w:rsid w:val="005D3534"/>
    <w:rsid w:val="005D3707"/>
    <w:rsid w:val="005D3AF0"/>
    <w:rsid w:val="005D3BF1"/>
    <w:rsid w:val="005D3BFD"/>
    <w:rsid w:val="005D46E9"/>
    <w:rsid w:val="005D5012"/>
    <w:rsid w:val="005D5E46"/>
    <w:rsid w:val="005D609E"/>
    <w:rsid w:val="005D64A5"/>
    <w:rsid w:val="005D6929"/>
    <w:rsid w:val="005D6B30"/>
    <w:rsid w:val="005D6E1C"/>
    <w:rsid w:val="005D7539"/>
    <w:rsid w:val="005D7E04"/>
    <w:rsid w:val="005E0082"/>
    <w:rsid w:val="005E02E2"/>
    <w:rsid w:val="005E06E1"/>
    <w:rsid w:val="005E0899"/>
    <w:rsid w:val="005E0E2A"/>
    <w:rsid w:val="005E1393"/>
    <w:rsid w:val="005E1411"/>
    <w:rsid w:val="005E192F"/>
    <w:rsid w:val="005E3035"/>
    <w:rsid w:val="005E35FD"/>
    <w:rsid w:val="005E383F"/>
    <w:rsid w:val="005E3B77"/>
    <w:rsid w:val="005E412A"/>
    <w:rsid w:val="005E48F7"/>
    <w:rsid w:val="005E4BA4"/>
    <w:rsid w:val="005E4CCB"/>
    <w:rsid w:val="005E5317"/>
    <w:rsid w:val="005E544C"/>
    <w:rsid w:val="005E5563"/>
    <w:rsid w:val="005E5777"/>
    <w:rsid w:val="005E59C5"/>
    <w:rsid w:val="005E5BE8"/>
    <w:rsid w:val="005E5E74"/>
    <w:rsid w:val="005E6046"/>
    <w:rsid w:val="005E610C"/>
    <w:rsid w:val="005E66F1"/>
    <w:rsid w:val="005E67AA"/>
    <w:rsid w:val="005E6AFB"/>
    <w:rsid w:val="005E6DE0"/>
    <w:rsid w:val="005E73E2"/>
    <w:rsid w:val="005E7698"/>
    <w:rsid w:val="005E7849"/>
    <w:rsid w:val="005E7A8C"/>
    <w:rsid w:val="005F06FA"/>
    <w:rsid w:val="005F06FD"/>
    <w:rsid w:val="005F0AD2"/>
    <w:rsid w:val="005F0B4C"/>
    <w:rsid w:val="005F0B53"/>
    <w:rsid w:val="005F0C46"/>
    <w:rsid w:val="005F1FE4"/>
    <w:rsid w:val="005F2586"/>
    <w:rsid w:val="005F3200"/>
    <w:rsid w:val="005F369B"/>
    <w:rsid w:val="005F3955"/>
    <w:rsid w:val="005F3C65"/>
    <w:rsid w:val="005F3F7F"/>
    <w:rsid w:val="005F40E5"/>
    <w:rsid w:val="005F419B"/>
    <w:rsid w:val="005F46D9"/>
    <w:rsid w:val="005F4950"/>
    <w:rsid w:val="005F4D16"/>
    <w:rsid w:val="005F523F"/>
    <w:rsid w:val="005F52BA"/>
    <w:rsid w:val="005F5362"/>
    <w:rsid w:val="005F556F"/>
    <w:rsid w:val="005F55A6"/>
    <w:rsid w:val="005F56D0"/>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923"/>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495"/>
    <w:rsid w:val="00623AEB"/>
    <w:rsid w:val="00623E4E"/>
    <w:rsid w:val="00624C2C"/>
    <w:rsid w:val="00624C6E"/>
    <w:rsid w:val="00624FB3"/>
    <w:rsid w:val="00625B24"/>
    <w:rsid w:val="0062657C"/>
    <w:rsid w:val="00626902"/>
    <w:rsid w:val="00626C25"/>
    <w:rsid w:val="00626E64"/>
    <w:rsid w:val="0062710F"/>
    <w:rsid w:val="0062725A"/>
    <w:rsid w:val="00627A8B"/>
    <w:rsid w:val="00627BA3"/>
    <w:rsid w:val="00627C39"/>
    <w:rsid w:val="00627E44"/>
    <w:rsid w:val="006300D7"/>
    <w:rsid w:val="006302AE"/>
    <w:rsid w:val="00630333"/>
    <w:rsid w:val="00630883"/>
    <w:rsid w:val="00631007"/>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835"/>
    <w:rsid w:val="00635B54"/>
    <w:rsid w:val="00635C9E"/>
    <w:rsid w:val="00635EDC"/>
    <w:rsid w:val="00635F56"/>
    <w:rsid w:val="00636094"/>
    <w:rsid w:val="0063633A"/>
    <w:rsid w:val="0063650D"/>
    <w:rsid w:val="00636519"/>
    <w:rsid w:val="00636A76"/>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F5"/>
    <w:rsid w:val="006466B5"/>
    <w:rsid w:val="00647092"/>
    <w:rsid w:val="0064741D"/>
    <w:rsid w:val="006474F5"/>
    <w:rsid w:val="006477A7"/>
    <w:rsid w:val="00647CB3"/>
    <w:rsid w:val="00647D9C"/>
    <w:rsid w:val="00650150"/>
    <w:rsid w:val="00650854"/>
    <w:rsid w:val="00650D1E"/>
    <w:rsid w:val="00650D3F"/>
    <w:rsid w:val="00650EB8"/>
    <w:rsid w:val="00650F7C"/>
    <w:rsid w:val="00650FBE"/>
    <w:rsid w:val="006513D5"/>
    <w:rsid w:val="00651673"/>
    <w:rsid w:val="006518B1"/>
    <w:rsid w:val="00651AD3"/>
    <w:rsid w:val="00651B74"/>
    <w:rsid w:val="00651FA0"/>
    <w:rsid w:val="0065236C"/>
    <w:rsid w:val="00653217"/>
    <w:rsid w:val="00653273"/>
    <w:rsid w:val="00653876"/>
    <w:rsid w:val="00653FED"/>
    <w:rsid w:val="0065424F"/>
    <w:rsid w:val="006544F6"/>
    <w:rsid w:val="0065454E"/>
    <w:rsid w:val="00654CB5"/>
    <w:rsid w:val="00654FE2"/>
    <w:rsid w:val="00655070"/>
    <w:rsid w:val="00655223"/>
    <w:rsid w:val="00655780"/>
    <w:rsid w:val="0065594D"/>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2166"/>
    <w:rsid w:val="00662DC0"/>
    <w:rsid w:val="00662F38"/>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62DA"/>
    <w:rsid w:val="006672FC"/>
    <w:rsid w:val="00667378"/>
    <w:rsid w:val="0066745C"/>
    <w:rsid w:val="00667A27"/>
    <w:rsid w:val="00670290"/>
    <w:rsid w:val="006702A2"/>
    <w:rsid w:val="006704BF"/>
    <w:rsid w:val="006709F4"/>
    <w:rsid w:val="00670AD6"/>
    <w:rsid w:val="00670ECD"/>
    <w:rsid w:val="00671010"/>
    <w:rsid w:val="0067106A"/>
    <w:rsid w:val="0067138E"/>
    <w:rsid w:val="006713AE"/>
    <w:rsid w:val="00671B4F"/>
    <w:rsid w:val="00671CA8"/>
    <w:rsid w:val="006725CC"/>
    <w:rsid w:val="0067261D"/>
    <w:rsid w:val="0067273D"/>
    <w:rsid w:val="00672966"/>
    <w:rsid w:val="006735BC"/>
    <w:rsid w:val="00673BDE"/>
    <w:rsid w:val="00673D6E"/>
    <w:rsid w:val="00673EB7"/>
    <w:rsid w:val="00673FBF"/>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8AD"/>
    <w:rsid w:val="00683D7F"/>
    <w:rsid w:val="00684258"/>
    <w:rsid w:val="006844EB"/>
    <w:rsid w:val="006845C9"/>
    <w:rsid w:val="00684AA1"/>
    <w:rsid w:val="006853FF"/>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901DB"/>
    <w:rsid w:val="00690A41"/>
    <w:rsid w:val="00690D12"/>
    <w:rsid w:val="00690F0E"/>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9A3"/>
    <w:rsid w:val="006A6B3F"/>
    <w:rsid w:val="006A6B69"/>
    <w:rsid w:val="006A74C0"/>
    <w:rsid w:val="006A7574"/>
    <w:rsid w:val="006A7778"/>
    <w:rsid w:val="006B0489"/>
    <w:rsid w:val="006B05F5"/>
    <w:rsid w:val="006B0685"/>
    <w:rsid w:val="006B0A30"/>
    <w:rsid w:val="006B11F1"/>
    <w:rsid w:val="006B1213"/>
    <w:rsid w:val="006B163E"/>
    <w:rsid w:val="006B166D"/>
    <w:rsid w:val="006B19B2"/>
    <w:rsid w:val="006B1A07"/>
    <w:rsid w:val="006B1D3D"/>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A3"/>
    <w:rsid w:val="006B6C83"/>
    <w:rsid w:val="006B6C95"/>
    <w:rsid w:val="006B6D41"/>
    <w:rsid w:val="006B725C"/>
    <w:rsid w:val="006B7864"/>
    <w:rsid w:val="006B7F35"/>
    <w:rsid w:val="006C03B2"/>
    <w:rsid w:val="006C09DD"/>
    <w:rsid w:val="006C0D9A"/>
    <w:rsid w:val="006C1142"/>
    <w:rsid w:val="006C13FC"/>
    <w:rsid w:val="006C1513"/>
    <w:rsid w:val="006C1A29"/>
    <w:rsid w:val="006C1B3F"/>
    <w:rsid w:val="006C1F77"/>
    <w:rsid w:val="006C23DC"/>
    <w:rsid w:val="006C25C0"/>
    <w:rsid w:val="006C2604"/>
    <w:rsid w:val="006C2C20"/>
    <w:rsid w:val="006C2C4F"/>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007"/>
    <w:rsid w:val="006C6287"/>
    <w:rsid w:val="006C677C"/>
    <w:rsid w:val="006C6E92"/>
    <w:rsid w:val="006C75C9"/>
    <w:rsid w:val="006C7CAC"/>
    <w:rsid w:val="006C7FB9"/>
    <w:rsid w:val="006D01D2"/>
    <w:rsid w:val="006D0846"/>
    <w:rsid w:val="006D0C09"/>
    <w:rsid w:val="006D195F"/>
    <w:rsid w:val="006D1A23"/>
    <w:rsid w:val="006D1DFA"/>
    <w:rsid w:val="006D1F1A"/>
    <w:rsid w:val="006D2039"/>
    <w:rsid w:val="006D21FF"/>
    <w:rsid w:val="006D2349"/>
    <w:rsid w:val="006D24FD"/>
    <w:rsid w:val="006D2AE4"/>
    <w:rsid w:val="006D31AF"/>
    <w:rsid w:val="006D31DD"/>
    <w:rsid w:val="006D35CD"/>
    <w:rsid w:val="006D3D01"/>
    <w:rsid w:val="006D3DDE"/>
    <w:rsid w:val="006D4133"/>
    <w:rsid w:val="006D4373"/>
    <w:rsid w:val="006D492A"/>
    <w:rsid w:val="006D493C"/>
    <w:rsid w:val="006D4D21"/>
    <w:rsid w:val="006D5457"/>
    <w:rsid w:val="006D59BF"/>
    <w:rsid w:val="006D5A62"/>
    <w:rsid w:val="006D5EC2"/>
    <w:rsid w:val="006D5FEF"/>
    <w:rsid w:val="006D667A"/>
    <w:rsid w:val="006D6689"/>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D3A"/>
    <w:rsid w:val="006E3E37"/>
    <w:rsid w:val="006E4646"/>
    <w:rsid w:val="006E4674"/>
    <w:rsid w:val="006E512D"/>
    <w:rsid w:val="006E5477"/>
    <w:rsid w:val="006E554E"/>
    <w:rsid w:val="006E5AFE"/>
    <w:rsid w:val="006E668F"/>
    <w:rsid w:val="006E696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1667"/>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5FF"/>
    <w:rsid w:val="006F6689"/>
    <w:rsid w:val="006F6740"/>
    <w:rsid w:val="006F6FEA"/>
    <w:rsid w:val="006F6FFD"/>
    <w:rsid w:val="006F70E1"/>
    <w:rsid w:val="006F746D"/>
    <w:rsid w:val="006F767D"/>
    <w:rsid w:val="006F7A92"/>
    <w:rsid w:val="006F7E42"/>
    <w:rsid w:val="006F7EC5"/>
    <w:rsid w:val="006F7ED5"/>
    <w:rsid w:val="00700042"/>
    <w:rsid w:val="0070013F"/>
    <w:rsid w:val="0070023A"/>
    <w:rsid w:val="0070063F"/>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6ED"/>
    <w:rsid w:val="00705914"/>
    <w:rsid w:val="00705D28"/>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73"/>
    <w:rsid w:val="00712202"/>
    <w:rsid w:val="007123BD"/>
    <w:rsid w:val="00712A0F"/>
    <w:rsid w:val="00712FDB"/>
    <w:rsid w:val="007131B0"/>
    <w:rsid w:val="0071371F"/>
    <w:rsid w:val="0071374D"/>
    <w:rsid w:val="00714065"/>
    <w:rsid w:val="00714186"/>
    <w:rsid w:val="00714312"/>
    <w:rsid w:val="0071459D"/>
    <w:rsid w:val="00714796"/>
    <w:rsid w:val="00714CA1"/>
    <w:rsid w:val="00714D6A"/>
    <w:rsid w:val="007151F9"/>
    <w:rsid w:val="007152EF"/>
    <w:rsid w:val="0071531D"/>
    <w:rsid w:val="00715709"/>
    <w:rsid w:val="00715F3A"/>
    <w:rsid w:val="00715F49"/>
    <w:rsid w:val="0071606F"/>
    <w:rsid w:val="00716324"/>
    <w:rsid w:val="007163BF"/>
    <w:rsid w:val="0071649C"/>
    <w:rsid w:val="00716FC0"/>
    <w:rsid w:val="00717267"/>
    <w:rsid w:val="0071785D"/>
    <w:rsid w:val="00717890"/>
    <w:rsid w:val="007178EE"/>
    <w:rsid w:val="00717EAD"/>
    <w:rsid w:val="007202C0"/>
    <w:rsid w:val="00720668"/>
    <w:rsid w:val="00720759"/>
    <w:rsid w:val="007210FB"/>
    <w:rsid w:val="007215A9"/>
    <w:rsid w:val="0072190B"/>
    <w:rsid w:val="007219E8"/>
    <w:rsid w:val="00721B34"/>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4D39"/>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0207"/>
    <w:rsid w:val="00730D95"/>
    <w:rsid w:val="0073128B"/>
    <w:rsid w:val="0073150C"/>
    <w:rsid w:val="0073171A"/>
    <w:rsid w:val="007325D3"/>
    <w:rsid w:val="00732885"/>
    <w:rsid w:val="00732D0F"/>
    <w:rsid w:val="00733858"/>
    <w:rsid w:val="00733A80"/>
    <w:rsid w:val="00733BC0"/>
    <w:rsid w:val="00733D81"/>
    <w:rsid w:val="0073497A"/>
    <w:rsid w:val="0073532A"/>
    <w:rsid w:val="0073637C"/>
    <w:rsid w:val="00736886"/>
    <w:rsid w:val="00736A7F"/>
    <w:rsid w:val="00736D7B"/>
    <w:rsid w:val="0073744C"/>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207"/>
    <w:rsid w:val="0074475B"/>
    <w:rsid w:val="00744E4F"/>
    <w:rsid w:val="0074544C"/>
    <w:rsid w:val="0074576E"/>
    <w:rsid w:val="007458E7"/>
    <w:rsid w:val="00745EBB"/>
    <w:rsid w:val="00746167"/>
    <w:rsid w:val="00746199"/>
    <w:rsid w:val="007461D8"/>
    <w:rsid w:val="00747446"/>
    <w:rsid w:val="00747BD8"/>
    <w:rsid w:val="00747F05"/>
    <w:rsid w:val="0075038A"/>
    <w:rsid w:val="007503B7"/>
    <w:rsid w:val="007509F9"/>
    <w:rsid w:val="00751574"/>
    <w:rsid w:val="00751F76"/>
    <w:rsid w:val="00752497"/>
    <w:rsid w:val="007524E2"/>
    <w:rsid w:val="00752FE7"/>
    <w:rsid w:val="007531F5"/>
    <w:rsid w:val="0075327B"/>
    <w:rsid w:val="00753F01"/>
    <w:rsid w:val="0075412E"/>
    <w:rsid w:val="00754747"/>
    <w:rsid w:val="00754D51"/>
    <w:rsid w:val="00754D64"/>
    <w:rsid w:val="00754FCC"/>
    <w:rsid w:val="00755420"/>
    <w:rsid w:val="00755559"/>
    <w:rsid w:val="00755B06"/>
    <w:rsid w:val="00755D41"/>
    <w:rsid w:val="00755E06"/>
    <w:rsid w:val="00755F8B"/>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9FB"/>
    <w:rsid w:val="00761A37"/>
    <w:rsid w:val="00761D24"/>
    <w:rsid w:val="00761E2B"/>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700C8"/>
    <w:rsid w:val="00770272"/>
    <w:rsid w:val="00770506"/>
    <w:rsid w:val="00770CEE"/>
    <w:rsid w:val="00771504"/>
    <w:rsid w:val="007720D6"/>
    <w:rsid w:val="007720FE"/>
    <w:rsid w:val="007721AD"/>
    <w:rsid w:val="00772774"/>
    <w:rsid w:val="007728F4"/>
    <w:rsid w:val="00772957"/>
    <w:rsid w:val="00772D15"/>
    <w:rsid w:val="00772DC3"/>
    <w:rsid w:val="00772F93"/>
    <w:rsid w:val="0077322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145"/>
    <w:rsid w:val="007775DE"/>
    <w:rsid w:val="00777B46"/>
    <w:rsid w:val="00777EE9"/>
    <w:rsid w:val="007803C4"/>
    <w:rsid w:val="00780980"/>
    <w:rsid w:val="007809E1"/>
    <w:rsid w:val="00780A03"/>
    <w:rsid w:val="00780AF4"/>
    <w:rsid w:val="00780F3D"/>
    <w:rsid w:val="00780FC2"/>
    <w:rsid w:val="007813CE"/>
    <w:rsid w:val="0078146E"/>
    <w:rsid w:val="0078165E"/>
    <w:rsid w:val="007816FD"/>
    <w:rsid w:val="00781B9A"/>
    <w:rsid w:val="00781BC7"/>
    <w:rsid w:val="00781CB8"/>
    <w:rsid w:val="00781DAD"/>
    <w:rsid w:val="0078243D"/>
    <w:rsid w:val="00782D8A"/>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D7D"/>
    <w:rsid w:val="00787394"/>
    <w:rsid w:val="007875E7"/>
    <w:rsid w:val="007875F8"/>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9C7"/>
    <w:rsid w:val="00793F70"/>
    <w:rsid w:val="007946E2"/>
    <w:rsid w:val="007947FB"/>
    <w:rsid w:val="00794DFE"/>
    <w:rsid w:val="0079541C"/>
    <w:rsid w:val="007954AC"/>
    <w:rsid w:val="00795804"/>
    <w:rsid w:val="00795809"/>
    <w:rsid w:val="0079583F"/>
    <w:rsid w:val="00795BA6"/>
    <w:rsid w:val="00795DC8"/>
    <w:rsid w:val="0079601B"/>
    <w:rsid w:val="007962E1"/>
    <w:rsid w:val="00796B15"/>
    <w:rsid w:val="007977E1"/>
    <w:rsid w:val="00797DAA"/>
    <w:rsid w:val="00797F31"/>
    <w:rsid w:val="00797FCF"/>
    <w:rsid w:val="007A0616"/>
    <w:rsid w:val="007A0A9A"/>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505"/>
    <w:rsid w:val="007A3BF2"/>
    <w:rsid w:val="007A4338"/>
    <w:rsid w:val="007A4AF1"/>
    <w:rsid w:val="007A4B32"/>
    <w:rsid w:val="007A5050"/>
    <w:rsid w:val="007A5288"/>
    <w:rsid w:val="007A5C80"/>
    <w:rsid w:val="007A5F87"/>
    <w:rsid w:val="007A6053"/>
    <w:rsid w:val="007A618D"/>
    <w:rsid w:val="007A6256"/>
    <w:rsid w:val="007A6333"/>
    <w:rsid w:val="007A6477"/>
    <w:rsid w:val="007A650C"/>
    <w:rsid w:val="007A6909"/>
    <w:rsid w:val="007A6A76"/>
    <w:rsid w:val="007A7228"/>
    <w:rsid w:val="007A75A3"/>
    <w:rsid w:val="007A7706"/>
    <w:rsid w:val="007A7AD5"/>
    <w:rsid w:val="007A7CF7"/>
    <w:rsid w:val="007B0253"/>
    <w:rsid w:val="007B073B"/>
    <w:rsid w:val="007B0E3C"/>
    <w:rsid w:val="007B1061"/>
    <w:rsid w:val="007B185E"/>
    <w:rsid w:val="007B1F9A"/>
    <w:rsid w:val="007B2074"/>
    <w:rsid w:val="007B2638"/>
    <w:rsid w:val="007B2752"/>
    <w:rsid w:val="007B2BB1"/>
    <w:rsid w:val="007B3476"/>
    <w:rsid w:val="007B3CC4"/>
    <w:rsid w:val="007B448A"/>
    <w:rsid w:val="007B44DC"/>
    <w:rsid w:val="007B4543"/>
    <w:rsid w:val="007B4937"/>
    <w:rsid w:val="007B4D3D"/>
    <w:rsid w:val="007B4E66"/>
    <w:rsid w:val="007B4FF0"/>
    <w:rsid w:val="007B550D"/>
    <w:rsid w:val="007B5A66"/>
    <w:rsid w:val="007B5AB0"/>
    <w:rsid w:val="007B6136"/>
    <w:rsid w:val="007B630D"/>
    <w:rsid w:val="007B65B3"/>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508D"/>
    <w:rsid w:val="007C515A"/>
    <w:rsid w:val="007C52ED"/>
    <w:rsid w:val="007C52F0"/>
    <w:rsid w:val="007C56CE"/>
    <w:rsid w:val="007C57C5"/>
    <w:rsid w:val="007C59DA"/>
    <w:rsid w:val="007C5CE6"/>
    <w:rsid w:val="007C5D61"/>
    <w:rsid w:val="007C5DB6"/>
    <w:rsid w:val="007C5EB9"/>
    <w:rsid w:val="007C64BC"/>
    <w:rsid w:val="007C661B"/>
    <w:rsid w:val="007C6939"/>
    <w:rsid w:val="007C6941"/>
    <w:rsid w:val="007C6D8A"/>
    <w:rsid w:val="007C6E75"/>
    <w:rsid w:val="007C779D"/>
    <w:rsid w:val="007C7EF3"/>
    <w:rsid w:val="007D020B"/>
    <w:rsid w:val="007D02A6"/>
    <w:rsid w:val="007D098C"/>
    <w:rsid w:val="007D0D35"/>
    <w:rsid w:val="007D11B6"/>
    <w:rsid w:val="007D149C"/>
    <w:rsid w:val="007D163B"/>
    <w:rsid w:val="007D16BD"/>
    <w:rsid w:val="007D1B7C"/>
    <w:rsid w:val="007D214A"/>
    <w:rsid w:val="007D2A09"/>
    <w:rsid w:val="007D2C9F"/>
    <w:rsid w:val="007D31A6"/>
    <w:rsid w:val="007D357E"/>
    <w:rsid w:val="007D37BF"/>
    <w:rsid w:val="007D3889"/>
    <w:rsid w:val="007D39D7"/>
    <w:rsid w:val="007D3BE0"/>
    <w:rsid w:val="007D3C9F"/>
    <w:rsid w:val="007D4632"/>
    <w:rsid w:val="007D478D"/>
    <w:rsid w:val="007D4838"/>
    <w:rsid w:val="007D4956"/>
    <w:rsid w:val="007D4FF2"/>
    <w:rsid w:val="007D512C"/>
    <w:rsid w:val="007D526F"/>
    <w:rsid w:val="007D5777"/>
    <w:rsid w:val="007D5CFA"/>
    <w:rsid w:val="007D5F54"/>
    <w:rsid w:val="007D6310"/>
    <w:rsid w:val="007D673F"/>
    <w:rsid w:val="007D68F4"/>
    <w:rsid w:val="007D6CE5"/>
    <w:rsid w:val="007D6E8A"/>
    <w:rsid w:val="007D6EF0"/>
    <w:rsid w:val="007D7042"/>
    <w:rsid w:val="007D7059"/>
    <w:rsid w:val="007D7749"/>
    <w:rsid w:val="007E0162"/>
    <w:rsid w:val="007E05CC"/>
    <w:rsid w:val="007E0960"/>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7B3"/>
    <w:rsid w:val="007E5AA5"/>
    <w:rsid w:val="007E5B4B"/>
    <w:rsid w:val="007E5D16"/>
    <w:rsid w:val="007E5FFD"/>
    <w:rsid w:val="007E60AC"/>
    <w:rsid w:val="007E6239"/>
    <w:rsid w:val="007E6735"/>
    <w:rsid w:val="007E67F4"/>
    <w:rsid w:val="007E6FB4"/>
    <w:rsid w:val="007E7229"/>
    <w:rsid w:val="007E732E"/>
    <w:rsid w:val="007E741E"/>
    <w:rsid w:val="007E7B2B"/>
    <w:rsid w:val="007E7E6F"/>
    <w:rsid w:val="007F0176"/>
    <w:rsid w:val="007F05E0"/>
    <w:rsid w:val="007F0B77"/>
    <w:rsid w:val="007F0B82"/>
    <w:rsid w:val="007F0DD3"/>
    <w:rsid w:val="007F1282"/>
    <w:rsid w:val="007F161F"/>
    <w:rsid w:val="007F17BD"/>
    <w:rsid w:val="007F18C0"/>
    <w:rsid w:val="007F1CE2"/>
    <w:rsid w:val="007F1E9E"/>
    <w:rsid w:val="007F2477"/>
    <w:rsid w:val="007F2DBB"/>
    <w:rsid w:val="007F2ED4"/>
    <w:rsid w:val="007F32FB"/>
    <w:rsid w:val="007F3960"/>
    <w:rsid w:val="007F3BD3"/>
    <w:rsid w:val="007F3FB0"/>
    <w:rsid w:val="007F43A9"/>
    <w:rsid w:val="007F4484"/>
    <w:rsid w:val="007F4994"/>
    <w:rsid w:val="007F49DD"/>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BEA"/>
    <w:rsid w:val="00810DE9"/>
    <w:rsid w:val="00810EAE"/>
    <w:rsid w:val="00811036"/>
    <w:rsid w:val="00811C6A"/>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0224"/>
    <w:rsid w:val="00821398"/>
    <w:rsid w:val="0082172C"/>
    <w:rsid w:val="0082194C"/>
    <w:rsid w:val="00821A22"/>
    <w:rsid w:val="00821DC0"/>
    <w:rsid w:val="00822131"/>
    <w:rsid w:val="00822E13"/>
    <w:rsid w:val="00823335"/>
    <w:rsid w:val="008235E4"/>
    <w:rsid w:val="008237B2"/>
    <w:rsid w:val="00823B2A"/>
    <w:rsid w:val="00823D12"/>
    <w:rsid w:val="00823F61"/>
    <w:rsid w:val="0082449E"/>
    <w:rsid w:val="008245C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E9"/>
    <w:rsid w:val="00827AF3"/>
    <w:rsid w:val="00830D70"/>
    <w:rsid w:val="0083179C"/>
    <w:rsid w:val="00831CD4"/>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B5B"/>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1C4"/>
    <w:rsid w:val="0084296C"/>
    <w:rsid w:val="00842B07"/>
    <w:rsid w:val="00842B49"/>
    <w:rsid w:val="00842DB7"/>
    <w:rsid w:val="008431FF"/>
    <w:rsid w:val="00843238"/>
    <w:rsid w:val="0084387F"/>
    <w:rsid w:val="0084390B"/>
    <w:rsid w:val="00843AFD"/>
    <w:rsid w:val="00843B2C"/>
    <w:rsid w:val="008444F8"/>
    <w:rsid w:val="008445D2"/>
    <w:rsid w:val="00844750"/>
    <w:rsid w:val="00844808"/>
    <w:rsid w:val="00844864"/>
    <w:rsid w:val="00844B7D"/>
    <w:rsid w:val="00844CE2"/>
    <w:rsid w:val="008455F4"/>
    <w:rsid w:val="00845A92"/>
    <w:rsid w:val="00845F51"/>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6301"/>
    <w:rsid w:val="008564E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3EFE"/>
    <w:rsid w:val="00864305"/>
    <w:rsid w:val="008647D5"/>
    <w:rsid w:val="00864A9F"/>
    <w:rsid w:val="00864C02"/>
    <w:rsid w:val="008650AB"/>
    <w:rsid w:val="00865696"/>
    <w:rsid w:val="008657A5"/>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54E"/>
    <w:rsid w:val="00873BF0"/>
    <w:rsid w:val="00873C85"/>
    <w:rsid w:val="008742CE"/>
    <w:rsid w:val="008745AE"/>
    <w:rsid w:val="00874E33"/>
    <w:rsid w:val="00874FAC"/>
    <w:rsid w:val="0087504C"/>
    <w:rsid w:val="008754DE"/>
    <w:rsid w:val="00875755"/>
    <w:rsid w:val="0087588F"/>
    <w:rsid w:val="00875905"/>
    <w:rsid w:val="00875F79"/>
    <w:rsid w:val="00875FBD"/>
    <w:rsid w:val="00876AC7"/>
    <w:rsid w:val="0087763F"/>
    <w:rsid w:val="00877AD7"/>
    <w:rsid w:val="00877C45"/>
    <w:rsid w:val="00877C57"/>
    <w:rsid w:val="00877FA3"/>
    <w:rsid w:val="008804C9"/>
    <w:rsid w:val="00880D84"/>
    <w:rsid w:val="00880E95"/>
    <w:rsid w:val="008810DF"/>
    <w:rsid w:val="008810FA"/>
    <w:rsid w:val="00881842"/>
    <w:rsid w:val="00881F28"/>
    <w:rsid w:val="008825EC"/>
    <w:rsid w:val="008829DC"/>
    <w:rsid w:val="00882BB1"/>
    <w:rsid w:val="00882FE1"/>
    <w:rsid w:val="00883004"/>
    <w:rsid w:val="00883936"/>
    <w:rsid w:val="00883ED6"/>
    <w:rsid w:val="00884255"/>
    <w:rsid w:val="0088425B"/>
    <w:rsid w:val="00884AD8"/>
    <w:rsid w:val="00884CDF"/>
    <w:rsid w:val="00884E9F"/>
    <w:rsid w:val="0088549D"/>
    <w:rsid w:val="0088579F"/>
    <w:rsid w:val="00885D5D"/>
    <w:rsid w:val="00885EC9"/>
    <w:rsid w:val="00885F46"/>
    <w:rsid w:val="00885F7A"/>
    <w:rsid w:val="00886223"/>
    <w:rsid w:val="0088651F"/>
    <w:rsid w:val="008871C0"/>
    <w:rsid w:val="008876DF"/>
    <w:rsid w:val="00887771"/>
    <w:rsid w:val="00887844"/>
    <w:rsid w:val="00887FEF"/>
    <w:rsid w:val="00890786"/>
    <w:rsid w:val="008907B2"/>
    <w:rsid w:val="00890A5B"/>
    <w:rsid w:val="00890BCD"/>
    <w:rsid w:val="00890E0D"/>
    <w:rsid w:val="00890F04"/>
    <w:rsid w:val="00890FBE"/>
    <w:rsid w:val="00891C65"/>
    <w:rsid w:val="00891F63"/>
    <w:rsid w:val="00892253"/>
    <w:rsid w:val="008922DF"/>
    <w:rsid w:val="00892314"/>
    <w:rsid w:val="00892492"/>
    <w:rsid w:val="00893024"/>
    <w:rsid w:val="00893B3B"/>
    <w:rsid w:val="00893BA4"/>
    <w:rsid w:val="00893D63"/>
    <w:rsid w:val="00893DB3"/>
    <w:rsid w:val="00894555"/>
    <w:rsid w:val="008948A0"/>
    <w:rsid w:val="00894E76"/>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9EB"/>
    <w:rsid w:val="008A2AAE"/>
    <w:rsid w:val="008A2F26"/>
    <w:rsid w:val="008A2FA0"/>
    <w:rsid w:val="008A3033"/>
    <w:rsid w:val="008A36ED"/>
    <w:rsid w:val="008A3898"/>
    <w:rsid w:val="008A40C1"/>
    <w:rsid w:val="008A42D8"/>
    <w:rsid w:val="008A457F"/>
    <w:rsid w:val="008A4AE7"/>
    <w:rsid w:val="008A4DAC"/>
    <w:rsid w:val="008A4E04"/>
    <w:rsid w:val="008A53C3"/>
    <w:rsid w:val="008A59E9"/>
    <w:rsid w:val="008A5E89"/>
    <w:rsid w:val="008A62D3"/>
    <w:rsid w:val="008A631F"/>
    <w:rsid w:val="008A668F"/>
    <w:rsid w:val="008A6F9D"/>
    <w:rsid w:val="008A72A4"/>
    <w:rsid w:val="008A758D"/>
    <w:rsid w:val="008A75C5"/>
    <w:rsid w:val="008A7669"/>
    <w:rsid w:val="008A76CB"/>
    <w:rsid w:val="008A7819"/>
    <w:rsid w:val="008A7826"/>
    <w:rsid w:val="008A7B15"/>
    <w:rsid w:val="008B01A2"/>
    <w:rsid w:val="008B07C2"/>
    <w:rsid w:val="008B097E"/>
    <w:rsid w:val="008B0CD0"/>
    <w:rsid w:val="008B0F9B"/>
    <w:rsid w:val="008B12F9"/>
    <w:rsid w:val="008B130E"/>
    <w:rsid w:val="008B1651"/>
    <w:rsid w:val="008B175A"/>
    <w:rsid w:val="008B182D"/>
    <w:rsid w:val="008B18CE"/>
    <w:rsid w:val="008B2014"/>
    <w:rsid w:val="008B2052"/>
    <w:rsid w:val="008B21F5"/>
    <w:rsid w:val="008B2270"/>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4C93"/>
    <w:rsid w:val="008B4D6D"/>
    <w:rsid w:val="008B5448"/>
    <w:rsid w:val="008B5577"/>
    <w:rsid w:val="008B60ED"/>
    <w:rsid w:val="008B66CB"/>
    <w:rsid w:val="008B6E5C"/>
    <w:rsid w:val="008C0881"/>
    <w:rsid w:val="008C1161"/>
    <w:rsid w:val="008C1876"/>
    <w:rsid w:val="008C1EA3"/>
    <w:rsid w:val="008C2236"/>
    <w:rsid w:val="008C2426"/>
    <w:rsid w:val="008C2453"/>
    <w:rsid w:val="008C26B4"/>
    <w:rsid w:val="008C2767"/>
    <w:rsid w:val="008C45E1"/>
    <w:rsid w:val="008C4B47"/>
    <w:rsid w:val="008C570A"/>
    <w:rsid w:val="008C59D5"/>
    <w:rsid w:val="008C5B10"/>
    <w:rsid w:val="008C61A7"/>
    <w:rsid w:val="008C6780"/>
    <w:rsid w:val="008C6970"/>
    <w:rsid w:val="008C698E"/>
    <w:rsid w:val="008C6BC6"/>
    <w:rsid w:val="008C6C7A"/>
    <w:rsid w:val="008C6F4F"/>
    <w:rsid w:val="008C6F9B"/>
    <w:rsid w:val="008C6FA2"/>
    <w:rsid w:val="008C7151"/>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4318"/>
    <w:rsid w:val="008D453F"/>
    <w:rsid w:val="008D459E"/>
    <w:rsid w:val="008D4650"/>
    <w:rsid w:val="008D508F"/>
    <w:rsid w:val="008D538D"/>
    <w:rsid w:val="008D5879"/>
    <w:rsid w:val="008D58F4"/>
    <w:rsid w:val="008D592F"/>
    <w:rsid w:val="008D5FCD"/>
    <w:rsid w:val="008D6255"/>
    <w:rsid w:val="008D65B3"/>
    <w:rsid w:val="008D6733"/>
    <w:rsid w:val="008D6BDB"/>
    <w:rsid w:val="008D6F90"/>
    <w:rsid w:val="008D72BB"/>
    <w:rsid w:val="008D7554"/>
    <w:rsid w:val="008D7615"/>
    <w:rsid w:val="008D76A0"/>
    <w:rsid w:val="008D7787"/>
    <w:rsid w:val="008D791A"/>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2E"/>
    <w:rsid w:val="008E2562"/>
    <w:rsid w:val="008E2B47"/>
    <w:rsid w:val="008E2BFC"/>
    <w:rsid w:val="008E2FAD"/>
    <w:rsid w:val="008E335D"/>
    <w:rsid w:val="008E378A"/>
    <w:rsid w:val="008E3F52"/>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364"/>
    <w:rsid w:val="008E743E"/>
    <w:rsid w:val="008E7684"/>
    <w:rsid w:val="008E76C6"/>
    <w:rsid w:val="008E7DB3"/>
    <w:rsid w:val="008E7F9D"/>
    <w:rsid w:val="008F0090"/>
    <w:rsid w:val="008F01AB"/>
    <w:rsid w:val="008F044C"/>
    <w:rsid w:val="008F0460"/>
    <w:rsid w:val="008F06E5"/>
    <w:rsid w:val="008F0BA6"/>
    <w:rsid w:val="008F0C84"/>
    <w:rsid w:val="008F0FC8"/>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866"/>
    <w:rsid w:val="008F595E"/>
    <w:rsid w:val="008F6188"/>
    <w:rsid w:val="008F62F8"/>
    <w:rsid w:val="008F6649"/>
    <w:rsid w:val="008F692B"/>
    <w:rsid w:val="008F6C1F"/>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3C"/>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C05"/>
    <w:rsid w:val="00905F49"/>
    <w:rsid w:val="00906100"/>
    <w:rsid w:val="009067B8"/>
    <w:rsid w:val="00906EED"/>
    <w:rsid w:val="00907071"/>
    <w:rsid w:val="0090715C"/>
    <w:rsid w:val="00907862"/>
    <w:rsid w:val="0090797E"/>
    <w:rsid w:val="00907BEE"/>
    <w:rsid w:val="00910628"/>
    <w:rsid w:val="00910874"/>
    <w:rsid w:val="009108A7"/>
    <w:rsid w:val="00910FDB"/>
    <w:rsid w:val="0091181E"/>
    <w:rsid w:val="00911A5A"/>
    <w:rsid w:val="00911B21"/>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2078E"/>
    <w:rsid w:val="00920848"/>
    <w:rsid w:val="00920FA1"/>
    <w:rsid w:val="009216BF"/>
    <w:rsid w:val="009218C8"/>
    <w:rsid w:val="009218D2"/>
    <w:rsid w:val="00921A44"/>
    <w:rsid w:val="00921A74"/>
    <w:rsid w:val="00921C9F"/>
    <w:rsid w:val="00921D1B"/>
    <w:rsid w:val="00921ED5"/>
    <w:rsid w:val="00921FA1"/>
    <w:rsid w:val="009225B6"/>
    <w:rsid w:val="00922710"/>
    <w:rsid w:val="0092299F"/>
    <w:rsid w:val="00922E98"/>
    <w:rsid w:val="00923151"/>
    <w:rsid w:val="009235CF"/>
    <w:rsid w:val="00923821"/>
    <w:rsid w:val="00924108"/>
    <w:rsid w:val="00924491"/>
    <w:rsid w:val="00924AB6"/>
    <w:rsid w:val="00924CEC"/>
    <w:rsid w:val="0092507E"/>
    <w:rsid w:val="009250C2"/>
    <w:rsid w:val="00925267"/>
    <w:rsid w:val="00925836"/>
    <w:rsid w:val="0092591F"/>
    <w:rsid w:val="00925B66"/>
    <w:rsid w:val="00925DD1"/>
    <w:rsid w:val="00925FA3"/>
    <w:rsid w:val="009260D2"/>
    <w:rsid w:val="009260EC"/>
    <w:rsid w:val="00926264"/>
    <w:rsid w:val="0092656D"/>
    <w:rsid w:val="00926595"/>
    <w:rsid w:val="0092698B"/>
    <w:rsid w:val="009269EB"/>
    <w:rsid w:val="009276ED"/>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9A6"/>
    <w:rsid w:val="00932A20"/>
    <w:rsid w:val="00933D61"/>
    <w:rsid w:val="00933DE4"/>
    <w:rsid w:val="00934044"/>
    <w:rsid w:val="009348AD"/>
    <w:rsid w:val="00934FFD"/>
    <w:rsid w:val="009359C0"/>
    <w:rsid w:val="00935A10"/>
    <w:rsid w:val="00935B52"/>
    <w:rsid w:val="009360F7"/>
    <w:rsid w:val="0093634D"/>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2E0"/>
    <w:rsid w:val="00942BB8"/>
    <w:rsid w:val="00942E21"/>
    <w:rsid w:val="00942EF9"/>
    <w:rsid w:val="0094335F"/>
    <w:rsid w:val="0094376F"/>
    <w:rsid w:val="009438C4"/>
    <w:rsid w:val="00943B25"/>
    <w:rsid w:val="00943D38"/>
    <w:rsid w:val="009440DF"/>
    <w:rsid w:val="00944202"/>
    <w:rsid w:val="00944335"/>
    <w:rsid w:val="0094484A"/>
    <w:rsid w:val="00944AF4"/>
    <w:rsid w:val="00944BFA"/>
    <w:rsid w:val="00945E49"/>
    <w:rsid w:val="009462D8"/>
    <w:rsid w:val="00946388"/>
    <w:rsid w:val="0094663A"/>
    <w:rsid w:val="00946A8A"/>
    <w:rsid w:val="00946AA5"/>
    <w:rsid w:val="00946C4B"/>
    <w:rsid w:val="00946FCA"/>
    <w:rsid w:val="009478ED"/>
    <w:rsid w:val="009479E5"/>
    <w:rsid w:val="00947B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3082"/>
    <w:rsid w:val="0095342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92B"/>
    <w:rsid w:val="0096397B"/>
    <w:rsid w:val="00963C89"/>
    <w:rsid w:val="00964594"/>
    <w:rsid w:val="00964784"/>
    <w:rsid w:val="009648EB"/>
    <w:rsid w:val="00964E3C"/>
    <w:rsid w:val="00964E69"/>
    <w:rsid w:val="0096504D"/>
    <w:rsid w:val="00965493"/>
    <w:rsid w:val="009654F0"/>
    <w:rsid w:val="009659EA"/>
    <w:rsid w:val="0096691D"/>
    <w:rsid w:val="00966EC4"/>
    <w:rsid w:val="0096758A"/>
    <w:rsid w:val="0096766C"/>
    <w:rsid w:val="00967851"/>
    <w:rsid w:val="00967BCA"/>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612F"/>
    <w:rsid w:val="009765CF"/>
    <w:rsid w:val="00976D1B"/>
    <w:rsid w:val="00976FFB"/>
    <w:rsid w:val="00977852"/>
    <w:rsid w:val="009778AB"/>
    <w:rsid w:val="00980403"/>
    <w:rsid w:val="009804CB"/>
    <w:rsid w:val="009809DD"/>
    <w:rsid w:val="00980A94"/>
    <w:rsid w:val="00980ACA"/>
    <w:rsid w:val="00980C2B"/>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557"/>
    <w:rsid w:val="00990E93"/>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6A8B"/>
    <w:rsid w:val="00996CD4"/>
    <w:rsid w:val="00996D9B"/>
    <w:rsid w:val="0099731A"/>
    <w:rsid w:val="009975D0"/>
    <w:rsid w:val="009979D6"/>
    <w:rsid w:val="00997CA3"/>
    <w:rsid w:val="009A0212"/>
    <w:rsid w:val="009A031F"/>
    <w:rsid w:val="009A0C1F"/>
    <w:rsid w:val="009A1238"/>
    <w:rsid w:val="009A12A5"/>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EE7"/>
    <w:rsid w:val="009A7154"/>
    <w:rsid w:val="009A751E"/>
    <w:rsid w:val="009A78D1"/>
    <w:rsid w:val="009A7DFB"/>
    <w:rsid w:val="009A7E08"/>
    <w:rsid w:val="009B003C"/>
    <w:rsid w:val="009B01D6"/>
    <w:rsid w:val="009B107E"/>
    <w:rsid w:val="009B1823"/>
    <w:rsid w:val="009B2E47"/>
    <w:rsid w:val="009B3685"/>
    <w:rsid w:val="009B3745"/>
    <w:rsid w:val="009B3C79"/>
    <w:rsid w:val="009B3D47"/>
    <w:rsid w:val="009B3FC1"/>
    <w:rsid w:val="009B3FD4"/>
    <w:rsid w:val="009B4250"/>
    <w:rsid w:val="009B4821"/>
    <w:rsid w:val="009B4C1C"/>
    <w:rsid w:val="009B4C24"/>
    <w:rsid w:val="009B5821"/>
    <w:rsid w:val="009B70E9"/>
    <w:rsid w:val="009B7564"/>
    <w:rsid w:val="009B7BB7"/>
    <w:rsid w:val="009B7C44"/>
    <w:rsid w:val="009B7EB2"/>
    <w:rsid w:val="009B7FFA"/>
    <w:rsid w:val="009C00EF"/>
    <w:rsid w:val="009C0BC1"/>
    <w:rsid w:val="009C0DBE"/>
    <w:rsid w:val="009C19BC"/>
    <w:rsid w:val="009C19D2"/>
    <w:rsid w:val="009C1B60"/>
    <w:rsid w:val="009C1D4B"/>
    <w:rsid w:val="009C1E0C"/>
    <w:rsid w:val="009C2811"/>
    <w:rsid w:val="009C281C"/>
    <w:rsid w:val="009C2AB0"/>
    <w:rsid w:val="009C35C7"/>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046"/>
    <w:rsid w:val="009D5BBF"/>
    <w:rsid w:val="009D60B8"/>
    <w:rsid w:val="009D610C"/>
    <w:rsid w:val="009D62E7"/>
    <w:rsid w:val="009D6624"/>
    <w:rsid w:val="009D6BF6"/>
    <w:rsid w:val="009D6D66"/>
    <w:rsid w:val="009D6F4D"/>
    <w:rsid w:val="009D75A4"/>
    <w:rsid w:val="009D785E"/>
    <w:rsid w:val="009D7F89"/>
    <w:rsid w:val="009E04A9"/>
    <w:rsid w:val="009E04FB"/>
    <w:rsid w:val="009E0871"/>
    <w:rsid w:val="009E0FC1"/>
    <w:rsid w:val="009E1137"/>
    <w:rsid w:val="009E176B"/>
    <w:rsid w:val="009E1D40"/>
    <w:rsid w:val="009E1E2C"/>
    <w:rsid w:val="009E1F70"/>
    <w:rsid w:val="009E21A4"/>
    <w:rsid w:val="009E23B8"/>
    <w:rsid w:val="009E23E3"/>
    <w:rsid w:val="009E2BE6"/>
    <w:rsid w:val="009E2DD3"/>
    <w:rsid w:val="009E2EAE"/>
    <w:rsid w:val="009E2F97"/>
    <w:rsid w:val="009E3644"/>
    <w:rsid w:val="009E3790"/>
    <w:rsid w:val="009E3C31"/>
    <w:rsid w:val="009E4414"/>
    <w:rsid w:val="009E457F"/>
    <w:rsid w:val="009E4FCC"/>
    <w:rsid w:val="009E50D4"/>
    <w:rsid w:val="009E5656"/>
    <w:rsid w:val="009E5AB4"/>
    <w:rsid w:val="009E5CEF"/>
    <w:rsid w:val="009E641D"/>
    <w:rsid w:val="009E67C3"/>
    <w:rsid w:val="009E6A64"/>
    <w:rsid w:val="009E6FBA"/>
    <w:rsid w:val="009E6FC8"/>
    <w:rsid w:val="009E7E9B"/>
    <w:rsid w:val="009F0258"/>
    <w:rsid w:val="009F02E1"/>
    <w:rsid w:val="009F056D"/>
    <w:rsid w:val="009F07FC"/>
    <w:rsid w:val="009F0992"/>
    <w:rsid w:val="009F0CD1"/>
    <w:rsid w:val="009F1737"/>
    <w:rsid w:val="009F187B"/>
    <w:rsid w:val="009F1933"/>
    <w:rsid w:val="009F20E6"/>
    <w:rsid w:val="009F2A94"/>
    <w:rsid w:val="009F2AAF"/>
    <w:rsid w:val="009F2E7E"/>
    <w:rsid w:val="009F3281"/>
    <w:rsid w:val="009F3A4B"/>
    <w:rsid w:val="009F4196"/>
    <w:rsid w:val="009F41E1"/>
    <w:rsid w:val="009F4271"/>
    <w:rsid w:val="009F4375"/>
    <w:rsid w:val="009F479C"/>
    <w:rsid w:val="009F4F05"/>
    <w:rsid w:val="009F526F"/>
    <w:rsid w:val="009F5606"/>
    <w:rsid w:val="009F5768"/>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B26"/>
    <w:rsid w:val="00A02BEC"/>
    <w:rsid w:val="00A02C96"/>
    <w:rsid w:val="00A02D52"/>
    <w:rsid w:val="00A02FBC"/>
    <w:rsid w:val="00A03058"/>
    <w:rsid w:val="00A03705"/>
    <w:rsid w:val="00A03A1D"/>
    <w:rsid w:val="00A043B9"/>
    <w:rsid w:val="00A044DC"/>
    <w:rsid w:val="00A04541"/>
    <w:rsid w:val="00A04A92"/>
    <w:rsid w:val="00A04DB3"/>
    <w:rsid w:val="00A04E65"/>
    <w:rsid w:val="00A0559E"/>
    <w:rsid w:val="00A05A1F"/>
    <w:rsid w:val="00A05AA6"/>
    <w:rsid w:val="00A05B1A"/>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ACB"/>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590"/>
    <w:rsid w:val="00A2374F"/>
    <w:rsid w:val="00A23921"/>
    <w:rsid w:val="00A23E0D"/>
    <w:rsid w:val="00A24002"/>
    <w:rsid w:val="00A2470A"/>
    <w:rsid w:val="00A2481C"/>
    <w:rsid w:val="00A24CCF"/>
    <w:rsid w:val="00A25296"/>
    <w:rsid w:val="00A253C6"/>
    <w:rsid w:val="00A25448"/>
    <w:rsid w:val="00A254C4"/>
    <w:rsid w:val="00A2585A"/>
    <w:rsid w:val="00A25C9D"/>
    <w:rsid w:val="00A261E4"/>
    <w:rsid w:val="00A265D9"/>
    <w:rsid w:val="00A26883"/>
    <w:rsid w:val="00A26D60"/>
    <w:rsid w:val="00A26EE0"/>
    <w:rsid w:val="00A2702B"/>
    <w:rsid w:val="00A2761F"/>
    <w:rsid w:val="00A279DC"/>
    <w:rsid w:val="00A30703"/>
    <w:rsid w:val="00A30BAE"/>
    <w:rsid w:val="00A30DAF"/>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93A"/>
    <w:rsid w:val="00A33B63"/>
    <w:rsid w:val="00A34005"/>
    <w:rsid w:val="00A34685"/>
    <w:rsid w:val="00A34DA0"/>
    <w:rsid w:val="00A35A0B"/>
    <w:rsid w:val="00A35BD0"/>
    <w:rsid w:val="00A362CB"/>
    <w:rsid w:val="00A3692C"/>
    <w:rsid w:val="00A369E2"/>
    <w:rsid w:val="00A3747D"/>
    <w:rsid w:val="00A37A59"/>
    <w:rsid w:val="00A37C59"/>
    <w:rsid w:val="00A404B5"/>
    <w:rsid w:val="00A40531"/>
    <w:rsid w:val="00A40660"/>
    <w:rsid w:val="00A411A6"/>
    <w:rsid w:val="00A41821"/>
    <w:rsid w:val="00A41C5C"/>
    <w:rsid w:val="00A41EF0"/>
    <w:rsid w:val="00A422A2"/>
    <w:rsid w:val="00A42659"/>
    <w:rsid w:val="00A42ACB"/>
    <w:rsid w:val="00A4339C"/>
    <w:rsid w:val="00A4392A"/>
    <w:rsid w:val="00A4424E"/>
    <w:rsid w:val="00A44882"/>
    <w:rsid w:val="00A44BEB"/>
    <w:rsid w:val="00A44E28"/>
    <w:rsid w:val="00A45371"/>
    <w:rsid w:val="00A4570E"/>
    <w:rsid w:val="00A4579D"/>
    <w:rsid w:val="00A459CD"/>
    <w:rsid w:val="00A45A3B"/>
    <w:rsid w:val="00A45C5B"/>
    <w:rsid w:val="00A46FAD"/>
    <w:rsid w:val="00A47B47"/>
    <w:rsid w:val="00A47B4B"/>
    <w:rsid w:val="00A5044D"/>
    <w:rsid w:val="00A50B00"/>
    <w:rsid w:val="00A50D49"/>
    <w:rsid w:val="00A511FB"/>
    <w:rsid w:val="00A514EB"/>
    <w:rsid w:val="00A516A4"/>
    <w:rsid w:val="00A51AFD"/>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D75"/>
    <w:rsid w:val="00A55E76"/>
    <w:rsid w:val="00A5637C"/>
    <w:rsid w:val="00A56735"/>
    <w:rsid w:val="00A56C2C"/>
    <w:rsid w:val="00A56D0D"/>
    <w:rsid w:val="00A57311"/>
    <w:rsid w:val="00A5776A"/>
    <w:rsid w:val="00A57BD6"/>
    <w:rsid w:val="00A57F96"/>
    <w:rsid w:val="00A606AC"/>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31AB"/>
    <w:rsid w:val="00A63244"/>
    <w:rsid w:val="00A6367F"/>
    <w:rsid w:val="00A63872"/>
    <w:rsid w:val="00A63A37"/>
    <w:rsid w:val="00A63C62"/>
    <w:rsid w:val="00A64196"/>
    <w:rsid w:val="00A644C6"/>
    <w:rsid w:val="00A645FF"/>
    <w:rsid w:val="00A647A9"/>
    <w:rsid w:val="00A649B4"/>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70A35"/>
    <w:rsid w:val="00A7141F"/>
    <w:rsid w:val="00A71704"/>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DE7"/>
    <w:rsid w:val="00A7615F"/>
    <w:rsid w:val="00A7634B"/>
    <w:rsid w:val="00A764B9"/>
    <w:rsid w:val="00A76696"/>
    <w:rsid w:val="00A76A52"/>
    <w:rsid w:val="00A76BF2"/>
    <w:rsid w:val="00A76CE5"/>
    <w:rsid w:val="00A770A5"/>
    <w:rsid w:val="00A7735F"/>
    <w:rsid w:val="00A806D6"/>
    <w:rsid w:val="00A8135C"/>
    <w:rsid w:val="00A81633"/>
    <w:rsid w:val="00A81694"/>
    <w:rsid w:val="00A81BDA"/>
    <w:rsid w:val="00A81D27"/>
    <w:rsid w:val="00A81D9B"/>
    <w:rsid w:val="00A8216A"/>
    <w:rsid w:val="00A8221B"/>
    <w:rsid w:val="00A82322"/>
    <w:rsid w:val="00A82508"/>
    <w:rsid w:val="00A82C1E"/>
    <w:rsid w:val="00A82D84"/>
    <w:rsid w:val="00A831F0"/>
    <w:rsid w:val="00A835B2"/>
    <w:rsid w:val="00A83BF1"/>
    <w:rsid w:val="00A83CA0"/>
    <w:rsid w:val="00A84298"/>
    <w:rsid w:val="00A844CE"/>
    <w:rsid w:val="00A84EBF"/>
    <w:rsid w:val="00A851F0"/>
    <w:rsid w:val="00A85237"/>
    <w:rsid w:val="00A8523D"/>
    <w:rsid w:val="00A85628"/>
    <w:rsid w:val="00A85661"/>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A45"/>
    <w:rsid w:val="00A90E27"/>
    <w:rsid w:val="00A90EB6"/>
    <w:rsid w:val="00A91218"/>
    <w:rsid w:val="00A91469"/>
    <w:rsid w:val="00A9164F"/>
    <w:rsid w:val="00A91E3B"/>
    <w:rsid w:val="00A91F3E"/>
    <w:rsid w:val="00A92457"/>
    <w:rsid w:val="00A927EE"/>
    <w:rsid w:val="00A92B81"/>
    <w:rsid w:val="00A934FE"/>
    <w:rsid w:val="00A93800"/>
    <w:rsid w:val="00A938E5"/>
    <w:rsid w:val="00A93942"/>
    <w:rsid w:val="00A93BDA"/>
    <w:rsid w:val="00A93E34"/>
    <w:rsid w:val="00A93FAE"/>
    <w:rsid w:val="00A94A70"/>
    <w:rsid w:val="00A94BB8"/>
    <w:rsid w:val="00A94F1E"/>
    <w:rsid w:val="00A9505F"/>
    <w:rsid w:val="00A9508C"/>
    <w:rsid w:val="00A9526D"/>
    <w:rsid w:val="00A958E9"/>
    <w:rsid w:val="00A95A3E"/>
    <w:rsid w:val="00A96058"/>
    <w:rsid w:val="00A964EC"/>
    <w:rsid w:val="00A966C6"/>
    <w:rsid w:val="00A9692B"/>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712"/>
    <w:rsid w:val="00AA271C"/>
    <w:rsid w:val="00AA29F2"/>
    <w:rsid w:val="00AA2CD8"/>
    <w:rsid w:val="00AA30A2"/>
    <w:rsid w:val="00AA32EC"/>
    <w:rsid w:val="00AA461D"/>
    <w:rsid w:val="00AA4A92"/>
    <w:rsid w:val="00AA4C09"/>
    <w:rsid w:val="00AA4F41"/>
    <w:rsid w:val="00AA553A"/>
    <w:rsid w:val="00AA5584"/>
    <w:rsid w:val="00AA576F"/>
    <w:rsid w:val="00AA57CC"/>
    <w:rsid w:val="00AA5A12"/>
    <w:rsid w:val="00AA5C0D"/>
    <w:rsid w:val="00AA5DA5"/>
    <w:rsid w:val="00AA5F48"/>
    <w:rsid w:val="00AA6026"/>
    <w:rsid w:val="00AA6206"/>
    <w:rsid w:val="00AA630A"/>
    <w:rsid w:val="00AA69EF"/>
    <w:rsid w:val="00AA6F21"/>
    <w:rsid w:val="00AA6F9A"/>
    <w:rsid w:val="00AA6FF4"/>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06"/>
    <w:rsid w:val="00AB3D0B"/>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642C"/>
    <w:rsid w:val="00AB644A"/>
    <w:rsid w:val="00AB6458"/>
    <w:rsid w:val="00AB6CA0"/>
    <w:rsid w:val="00AB76D5"/>
    <w:rsid w:val="00AB7787"/>
    <w:rsid w:val="00AB78AC"/>
    <w:rsid w:val="00AB7913"/>
    <w:rsid w:val="00AC0169"/>
    <w:rsid w:val="00AC0919"/>
    <w:rsid w:val="00AC0CC3"/>
    <w:rsid w:val="00AC0FC0"/>
    <w:rsid w:val="00AC1281"/>
    <w:rsid w:val="00AC1316"/>
    <w:rsid w:val="00AC1525"/>
    <w:rsid w:val="00AC21BA"/>
    <w:rsid w:val="00AC21C1"/>
    <w:rsid w:val="00AC22C7"/>
    <w:rsid w:val="00AC249D"/>
    <w:rsid w:val="00AC2799"/>
    <w:rsid w:val="00AC2D4E"/>
    <w:rsid w:val="00AC3084"/>
    <w:rsid w:val="00AC3431"/>
    <w:rsid w:val="00AC37CC"/>
    <w:rsid w:val="00AC38E9"/>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63D"/>
    <w:rsid w:val="00AD1860"/>
    <w:rsid w:val="00AD1B21"/>
    <w:rsid w:val="00AD1DFE"/>
    <w:rsid w:val="00AD1F06"/>
    <w:rsid w:val="00AD23E9"/>
    <w:rsid w:val="00AD284F"/>
    <w:rsid w:val="00AD288C"/>
    <w:rsid w:val="00AD2ACB"/>
    <w:rsid w:val="00AD2D96"/>
    <w:rsid w:val="00AD2E5A"/>
    <w:rsid w:val="00AD3042"/>
    <w:rsid w:val="00AD3047"/>
    <w:rsid w:val="00AD31A9"/>
    <w:rsid w:val="00AD326D"/>
    <w:rsid w:val="00AD32CD"/>
    <w:rsid w:val="00AD33C3"/>
    <w:rsid w:val="00AD34A1"/>
    <w:rsid w:val="00AD379F"/>
    <w:rsid w:val="00AD3935"/>
    <w:rsid w:val="00AD3BEC"/>
    <w:rsid w:val="00AD4597"/>
    <w:rsid w:val="00AD48F9"/>
    <w:rsid w:val="00AD4922"/>
    <w:rsid w:val="00AD4C34"/>
    <w:rsid w:val="00AD5699"/>
    <w:rsid w:val="00AD57E1"/>
    <w:rsid w:val="00AD5CA3"/>
    <w:rsid w:val="00AD6980"/>
    <w:rsid w:val="00AD6C7F"/>
    <w:rsid w:val="00AD70C9"/>
    <w:rsid w:val="00AD732B"/>
    <w:rsid w:val="00AD75A6"/>
    <w:rsid w:val="00AD7927"/>
    <w:rsid w:val="00AD7E17"/>
    <w:rsid w:val="00AE0160"/>
    <w:rsid w:val="00AE0332"/>
    <w:rsid w:val="00AE03CD"/>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967"/>
    <w:rsid w:val="00AE3AF4"/>
    <w:rsid w:val="00AE4297"/>
    <w:rsid w:val="00AE42D1"/>
    <w:rsid w:val="00AE4557"/>
    <w:rsid w:val="00AE492A"/>
    <w:rsid w:val="00AE4A1F"/>
    <w:rsid w:val="00AE4C55"/>
    <w:rsid w:val="00AE4F01"/>
    <w:rsid w:val="00AE51E4"/>
    <w:rsid w:val="00AE5210"/>
    <w:rsid w:val="00AE57DF"/>
    <w:rsid w:val="00AE5C22"/>
    <w:rsid w:val="00AE5E95"/>
    <w:rsid w:val="00AE6433"/>
    <w:rsid w:val="00AE6584"/>
    <w:rsid w:val="00AE69BD"/>
    <w:rsid w:val="00AE6D12"/>
    <w:rsid w:val="00AE723D"/>
    <w:rsid w:val="00AE7751"/>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D5C"/>
    <w:rsid w:val="00AF5F78"/>
    <w:rsid w:val="00AF6369"/>
    <w:rsid w:val="00AF63A9"/>
    <w:rsid w:val="00AF6591"/>
    <w:rsid w:val="00AF66F1"/>
    <w:rsid w:val="00AF6A76"/>
    <w:rsid w:val="00AF6B1B"/>
    <w:rsid w:val="00AF7363"/>
    <w:rsid w:val="00AF738A"/>
    <w:rsid w:val="00AF766E"/>
    <w:rsid w:val="00AF7F09"/>
    <w:rsid w:val="00AF7F0E"/>
    <w:rsid w:val="00B002BA"/>
    <w:rsid w:val="00B00306"/>
    <w:rsid w:val="00B008C6"/>
    <w:rsid w:val="00B00D62"/>
    <w:rsid w:val="00B010D3"/>
    <w:rsid w:val="00B01CC2"/>
    <w:rsid w:val="00B01D0E"/>
    <w:rsid w:val="00B01F0D"/>
    <w:rsid w:val="00B02014"/>
    <w:rsid w:val="00B0226D"/>
    <w:rsid w:val="00B023FC"/>
    <w:rsid w:val="00B02A4C"/>
    <w:rsid w:val="00B02AD0"/>
    <w:rsid w:val="00B030BD"/>
    <w:rsid w:val="00B03101"/>
    <w:rsid w:val="00B0326E"/>
    <w:rsid w:val="00B039CE"/>
    <w:rsid w:val="00B03BA1"/>
    <w:rsid w:val="00B03BB8"/>
    <w:rsid w:val="00B03D26"/>
    <w:rsid w:val="00B04AD7"/>
    <w:rsid w:val="00B04D36"/>
    <w:rsid w:val="00B04F11"/>
    <w:rsid w:val="00B0540A"/>
    <w:rsid w:val="00B05688"/>
    <w:rsid w:val="00B0588E"/>
    <w:rsid w:val="00B05A44"/>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7BE"/>
    <w:rsid w:val="00B13829"/>
    <w:rsid w:val="00B13A51"/>
    <w:rsid w:val="00B13F1F"/>
    <w:rsid w:val="00B1417B"/>
    <w:rsid w:val="00B14251"/>
    <w:rsid w:val="00B1478D"/>
    <w:rsid w:val="00B147CC"/>
    <w:rsid w:val="00B14996"/>
    <w:rsid w:val="00B15141"/>
    <w:rsid w:val="00B151C6"/>
    <w:rsid w:val="00B16084"/>
    <w:rsid w:val="00B16770"/>
    <w:rsid w:val="00B16815"/>
    <w:rsid w:val="00B16B5F"/>
    <w:rsid w:val="00B16D08"/>
    <w:rsid w:val="00B1736C"/>
    <w:rsid w:val="00B17431"/>
    <w:rsid w:val="00B17744"/>
    <w:rsid w:val="00B17D3E"/>
    <w:rsid w:val="00B20057"/>
    <w:rsid w:val="00B20215"/>
    <w:rsid w:val="00B2043A"/>
    <w:rsid w:val="00B20470"/>
    <w:rsid w:val="00B20CD7"/>
    <w:rsid w:val="00B20E2B"/>
    <w:rsid w:val="00B20F3D"/>
    <w:rsid w:val="00B21016"/>
    <w:rsid w:val="00B213E5"/>
    <w:rsid w:val="00B214D2"/>
    <w:rsid w:val="00B215F9"/>
    <w:rsid w:val="00B217CD"/>
    <w:rsid w:val="00B21B67"/>
    <w:rsid w:val="00B21CA7"/>
    <w:rsid w:val="00B220B3"/>
    <w:rsid w:val="00B22472"/>
    <w:rsid w:val="00B2254E"/>
    <w:rsid w:val="00B22D0E"/>
    <w:rsid w:val="00B22D73"/>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45D"/>
    <w:rsid w:val="00B2757B"/>
    <w:rsid w:val="00B27D54"/>
    <w:rsid w:val="00B30205"/>
    <w:rsid w:val="00B30CF6"/>
    <w:rsid w:val="00B30F03"/>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933"/>
    <w:rsid w:val="00B35CB3"/>
    <w:rsid w:val="00B35F8E"/>
    <w:rsid w:val="00B35FE7"/>
    <w:rsid w:val="00B36391"/>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A61"/>
    <w:rsid w:val="00B45AC0"/>
    <w:rsid w:val="00B46501"/>
    <w:rsid w:val="00B46BCE"/>
    <w:rsid w:val="00B47784"/>
    <w:rsid w:val="00B4783F"/>
    <w:rsid w:val="00B47858"/>
    <w:rsid w:val="00B47CEF"/>
    <w:rsid w:val="00B50261"/>
    <w:rsid w:val="00B504F7"/>
    <w:rsid w:val="00B50810"/>
    <w:rsid w:val="00B50933"/>
    <w:rsid w:val="00B50BDC"/>
    <w:rsid w:val="00B50E09"/>
    <w:rsid w:val="00B5137B"/>
    <w:rsid w:val="00B51420"/>
    <w:rsid w:val="00B51526"/>
    <w:rsid w:val="00B517F1"/>
    <w:rsid w:val="00B51A40"/>
    <w:rsid w:val="00B5238F"/>
    <w:rsid w:val="00B529F2"/>
    <w:rsid w:val="00B52B81"/>
    <w:rsid w:val="00B52EC8"/>
    <w:rsid w:val="00B5370C"/>
    <w:rsid w:val="00B53AB0"/>
    <w:rsid w:val="00B53EF5"/>
    <w:rsid w:val="00B542BA"/>
    <w:rsid w:val="00B54989"/>
    <w:rsid w:val="00B54CC5"/>
    <w:rsid w:val="00B54F5A"/>
    <w:rsid w:val="00B553CF"/>
    <w:rsid w:val="00B55565"/>
    <w:rsid w:val="00B555B8"/>
    <w:rsid w:val="00B55ACA"/>
    <w:rsid w:val="00B561BD"/>
    <w:rsid w:val="00B566E0"/>
    <w:rsid w:val="00B5685D"/>
    <w:rsid w:val="00B56E91"/>
    <w:rsid w:val="00B56EC6"/>
    <w:rsid w:val="00B56F22"/>
    <w:rsid w:val="00B574BA"/>
    <w:rsid w:val="00B57861"/>
    <w:rsid w:val="00B57CD1"/>
    <w:rsid w:val="00B60407"/>
    <w:rsid w:val="00B6059C"/>
    <w:rsid w:val="00B60B4F"/>
    <w:rsid w:val="00B60E14"/>
    <w:rsid w:val="00B60E6E"/>
    <w:rsid w:val="00B61045"/>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2CF"/>
    <w:rsid w:val="00B664EC"/>
    <w:rsid w:val="00B665F4"/>
    <w:rsid w:val="00B66801"/>
    <w:rsid w:val="00B668B4"/>
    <w:rsid w:val="00B66FFC"/>
    <w:rsid w:val="00B6796C"/>
    <w:rsid w:val="00B67B0B"/>
    <w:rsid w:val="00B67B2B"/>
    <w:rsid w:val="00B67E51"/>
    <w:rsid w:val="00B67F03"/>
    <w:rsid w:val="00B7021B"/>
    <w:rsid w:val="00B70333"/>
    <w:rsid w:val="00B70A49"/>
    <w:rsid w:val="00B70EDB"/>
    <w:rsid w:val="00B71A5D"/>
    <w:rsid w:val="00B7273B"/>
    <w:rsid w:val="00B727B8"/>
    <w:rsid w:val="00B72B43"/>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174"/>
    <w:rsid w:val="00B772AA"/>
    <w:rsid w:val="00B774CC"/>
    <w:rsid w:val="00B77B57"/>
    <w:rsid w:val="00B77D8A"/>
    <w:rsid w:val="00B8053A"/>
    <w:rsid w:val="00B80795"/>
    <w:rsid w:val="00B80797"/>
    <w:rsid w:val="00B80F5B"/>
    <w:rsid w:val="00B8103A"/>
    <w:rsid w:val="00B81578"/>
    <w:rsid w:val="00B81684"/>
    <w:rsid w:val="00B817F4"/>
    <w:rsid w:val="00B8191A"/>
    <w:rsid w:val="00B81D1D"/>
    <w:rsid w:val="00B820AE"/>
    <w:rsid w:val="00B821AB"/>
    <w:rsid w:val="00B82205"/>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9E5"/>
    <w:rsid w:val="00B95A04"/>
    <w:rsid w:val="00B95C49"/>
    <w:rsid w:val="00B95EEF"/>
    <w:rsid w:val="00B95FD7"/>
    <w:rsid w:val="00B96228"/>
    <w:rsid w:val="00B96313"/>
    <w:rsid w:val="00B96CF0"/>
    <w:rsid w:val="00B96DA2"/>
    <w:rsid w:val="00B96DAF"/>
    <w:rsid w:val="00B96F16"/>
    <w:rsid w:val="00B9716A"/>
    <w:rsid w:val="00B9745E"/>
    <w:rsid w:val="00B97701"/>
    <w:rsid w:val="00B977E6"/>
    <w:rsid w:val="00BA067F"/>
    <w:rsid w:val="00BA0A3E"/>
    <w:rsid w:val="00BA0B44"/>
    <w:rsid w:val="00BA1327"/>
    <w:rsid w:val="00BA13E0"/>
    <w:rsid w:val="00BA1421"/>
    <w:rsid w:val="00BA17C4"/>
    <w:rsid w:val="00BA270E"/>
    <w:rsid w:val="00BA2729"/>
    <w:rsid w:val="00BA283C"/>
    <w:rsid w:val="00BA2AEB"/>
    <w:rsid w:val="00BA2B41"/>
    <w:rsid w:val="00BA2B82"/>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C65"/>
    <w:rsid w:val="00BB3F4C"/>
    <w:rsid w:val="00BB4250"/>
    <w:rsid w:val="00BB4A42"/>
    <w:rsid w:val="00BB5075"/>
    <w:rsid w:val="00BB5220"/>
    <w:rsid w:val="00BB5321"/>
    <w:rsid w:val="00BB56F2"/>
    <w:rsid w:val="00BB56F5"/>
    <w:rsid w:val="00BB57E0"/>
    <w:rsid w:val="00BB5846"/>
    <w:rsid w:val="00BB61DC"/>
    <w:rsid w:val="00BB6258"/>
    <w:rsid w:val="00BB6431"/>
    <w:rsid w:val="00BB645D"/>
    <w:rsid w:val="00BB6472"/>
    <w:rsid w:val="00BB7064"/>
    <w:rsid w:val="00BB7109"/>
    <w:rsid w:val="00BB71BC"/>
    <w:rsid w:val="00BB71EC"/>
    <w:rsid w:val="00BB724B"/>
    <w:rsid w:val="00BB740F"/>
    <w:rsid w:val="00BB7DB1"/>
    <w:rsid w:val="00BC0AE6"/>
    <w:rsid w:val="00BC157D"/>
    <w:rsid w:val="00BC16BF"/>
    <w:rsid w:val="00BC1B4B"/>
    <w:rsid w:val="00BC201A"/>
    <w:rsid w:val="00BC2B85"/>
    <w:rsid w:val="00BC2BC7"/>
    <w:rsid w:val="00BC2F45"/>
    <w:rsid w:val="00BC344E"/>
    <w:rsid w:val="00BC38B8"/>
    <w:rsid w:val="00BC3B7A"/>
    <w:rsid w:val="00BC3CF8"/>
    <w:rsid w:val="00BC46EE"/>
    <w:rsid w:val="00BC4B9C"/>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238C"/>
    <w:rsid w:val="00BD2397"/>
    <w:rsid w:val="00BD2A08"/>
    <w:rsid w:val="00BD2F55"/>
    <w:rsid w:val="00BD3837"/>
    <w:rsid w:val="00BD385B"/>
    <w:rsid w:val="00BD386B"/>
    <w:rsid w:val="00BD3C69"/>
    <w:rsid w:val="00BD3D7A"/>
    <w:rsid w:val="00BD3E27"/>
    <w:rsid w:val="00BD4355"/>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AFA"/>
    <w:rsid w:val="00BE3BEC"/>
    <w:rsid w:val="00BE3F52"/>
    <w:rsid w:val="00BE403F"/>
    <w:rsid w:val="00BE5515"/>
    <w:rsid w:val="00BE5613"/>
    <w:rsid w:val="00BE5813"/>
    <w:rsid w:val="00BE5A3B"/>
    <w:rsid w:val="00BE5C7E"/>
    <w:rsid w:val="00BE65B3"/>
    <w:rsid w:val="00BE68B9"/>
    <w:rsid w:val="00BE6E3F"/>
    <w:rsid w:val="00BE7265"/>
    <w:rsid w:val="00BE76E0"/>
    <w:rsid w:val="00BE76E2"/>
    <w:rsid w:val="00BE7B27"/>
    <w:rsid w:val="00BF02E6"/>
    <w:rsid w:val="00BF0A66"/>
    <w:rsid w:val="00BF10D2"/>
    <w:rsid w:val="00BF10D6"/>
    <w:rsid w:val="00BF120B"/>
    <w:rsid w:val="00BF1309"/>
    <w:rsid w:val="00BF18B9"/>
    <w:rsid w:val="00BF1B2B"/>
    <w:rsid w:val="00BF1B70"/>
    <w:rsid w:val="00BF1C7C"/>
    <w:rsid w:val="00BF2085"/>
    <w:rsid w:val="00BF220D"/>
    <w:rsid w:val="00BF2817"/>
    <w:rsid w:val="00BF286F"/>
    <w:rsid w:val="00BF2C65"/>
    <w:rsid w:val="00BF31CB"/>
    <w:rsid w:val="00BF3AE6"/>
    <w:rsid w:val="00BF3C10"/>
    <w:rsid w:val="00BF469E"/>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CDD"/>
    <w:rsid w:val="00BF7D43"/>
    <w:rsid w:val="00C00F1A"/>
    <w:rsid w:val="00C010F5"/>
    <w:rsid w:val="00C0115A"/>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599"/>
    <w:rsid w:val="00C107FB"/>
    <w:rsid w:val="00C1096D"/>
    <w:rsid w:val="00C10AA1"/>
    <w:rsid w:val="00C10BB8"/>
    <w:rsid w:val="00C10F46"/>
    <w:rsid w:val="00C1114F"/>
    <w:rsid w:val="00C11183"/>
    <w:rsid w:val="00C11197"/>
    <w:rsid w:val="00C1157C"/>
    <w:rsid w:val="00C11C33"/>
    <w:rsid w:val="00C11C73"/>
    <w:rsid w:val="00C11FE5"/>
    <w:rsid w:val="00C11FF6"/>
    <w:rsid w:val="00C12068"/>
    <w:rsid w:val="00C120C5"/>
    <w:rsid w:val="00C12C22"/>
    <w:rsid w:val="00C12EB5"/>
    <w:rsid w:val="00C1328A"/>
    <w:rsid w:val="00C13504"/>
    <w:rsid w:val="00C135FC"/>
    <w:rsid w:val="00C13C8A"/>
    <w:rsid w:val="00C13F22"/>
    <w:rsid w:val="00C140FE"/>
    <w:rsid w:val="00C14346"/>
    <w:rsid w:val="00C14691"/>
    <w:rsid w:val="00C14C80"/>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902"/>
    <w:rsid w:val="00C226CE"/>
    <w:rsid w:val="00C22C0B"/>
    <w:rsid w:val="00C22DC7"/>
    <w:rsid w:val="00C232DD"/>
    <w:rsid w:val="00C237B8"/>
    <w:rsid w:val="00C2423A"/>
    <w:rsid w:val="00C244D8"/>
    <w:rsid w:val="00C24789"/>
    <w:rsid w:val="00C24EE5"/>
    <w:rsid w:val="00C250CF"/>
    <w:rsid w:val="00C252FC"/>
    <w:rsid w:val="00C2544D"/>
    <w:rsid w:val="00C25803"/>
    <w:rsid w:val="00C25B53"/>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DAD"/>
    <w:rsid w:val="00C37050"/>
    <w:rsid w:val="00C37F8D"/>
    <w:rsid w:val="00C4018E"/>
    <w:rsid w:val="00C404D5"/>
    <w:rsid w:val="00C40B7D"/>
    <w:rsid w:val="00C40CD4"/>
    <w:rsid w:val="00C40D67"/>
    <w:rsid w:val="00C41057"/>
    <w:rsid w:val="00C411E2"/>
    <w:rsid w:val="00C412FC"/>
    <w:rsid w:val="00C419CD"/>
    <w:rsid w:val="00C41E8D"/>
    <w:rsid w:val="00C42130"/>
    <w:rsid w:val="00C42784"/>
    <w:rsid w:val="00C429E1"/>
    <w:rsid w:val="00C43167"/>
    <w:rsid w:val="00C43961"/>
    <w:rsid w:val="00C439F0"/>
    <w:rsid w:val="00C43CE7"/>
    <w:rsid w:val="00C4412A"/>
    <w:rsid w:val="00C44189"/>
    <w:rsid w:val="00C447FB"/>
    <w:rsid w:val="00C44A2C"/>
    <w:rsid w:val="00C44CD1"/>
    <w:rsid w:val="00C44F96"/>
    <w:rsid w:val="00C44FF2"/>
    <w:rsid w:val="00C45036"/>
    <w:rsid w:val="00C45377"/>
    <w:rsid w:val="00C4587D"/>
    <w:rsid w:val="00C45C66"/>
    <w:rsid w:val="00C45ED5"/>
    <w:rsid w:val="00C45FF5"/>
    <w:rsid w:val="00C46400"/>
    <w:rsid w:val="00C470AA"/>
    <w:rsid w:val="00C47AE8"/>
    <w:rsid w:val="00C47B93"/>
    <w:rsid w:val="00C47BDE"/>
    <w:rsid w:val="00C5002F"/>
    <w:rsid w:val="00C50335"/>
    <w:rsid w:val="00C508B7"/>
    <w:rsid w:val="00C509D3"/>
    <w:rsid w:val="00C51696"/>
    <w:rsid w:val="00C51D11"/>
    <w:rsid w:val="00C51D30"/>
    <w:rsid w:val="00C51F21"/>
    <w:rsid w:val="00C521CD"/>
    <w:rsid w:val="00C5257E"/>
    <w:rsid w:val="00C5285D"/>
    <w:rsid w:val="00C531B4"/>
    <w:rsid w:val="00C532F9"/>
    <w:rsid w:val="00C538F2"/>
    <w:rsid w:val="00C539B0"/>
    <w:rsid w:val="00C53E22"/>
    <w:rsid w:val="00C54A19"/>
    <w:rsid w:val="00C54C14"/>
    <w:rsid w:val="00C54C62"/>
    <w:rsid w:val="00C54CBD"/>
    <w:rsid w:val="00C54CDD"/>
    <w:rsid w:val="00C55860"/>
    <w:rsid w:val="00C5589B"/>
    <w:rsid w:val="00C55A58"/>
    <w:rsid w:val="00C55E23"/>
    <w:rsid w:val="00C5638E"/>
    <w:rsid w:val="00C56918"/>
    <w:rsid w:val="00C569CA"/>
    <w:rsid w:val="00C5733A"/>
    <w:rsid w:val="00C57602"/>
    <w:rsid w:val="00C57CC6"/>
    <w:rsid w:val="00C601EB"/>
    <w:rsid w:val="00C602DB"/>
    <w:rsid w:val="00C60430"/>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B26"/>
    <w:rsid w:val="00C72EF5"/>
    <w:rsid w:val="00C7322E"/>
    <w:rsid w:val="00C73300"/>
    <w:rsid w:val="00C733ED"/>
    <w:rsid w:val="00C7357D"/>
    <w:rsid w:val="00C73BF6"/>
    <w:rsid w:val="00C74157"/>
    <w:rsid w:val="00C742A8"/>
    <w:rsid w:val="00C7448E"/>
    <w:rsid w:val="00C7475A"/>
    <w:rsid w:val="00C74859"/>
    <w:rsid w:val="00C748E2"/>
    <w:rsid w:val="00C74B2A"/>
    <w:rsid w:val="00C75004"/>
    <w:rsid w:val="00C755E8"/>
    <w:rsid w:val="00C75970"/>
    <w:rsid w:val="00C75AC4"/>
    <w:rsid w:val="00C75C9D"/>
    <w:rsid w:val="00C76952"/>
    <w:rsid w:val="00C7731D"/>
    <w:rsid w:val="00C778FA"/>
    <w:rsid w:val="00C7799E"/>
    <w:rsid w:val="00C80441"/>
    <w:rsid w:val="00C80503"/>
    <w:rsid w:val="00C80547"/>
    <w:rsid w:val="00C80DB5"/>
    <w:rsid w:val="00C80F45"/>
    <w:rsid w:val="00C81860"/>
    <w:rsid w:val="00C8198E"/>
    <w:rsid w:val="00C81B30"/>
    <w:rsid w:val="00C8220B"/>
    <w:rsid w:val="00C82387"/>
    <w:rsid w:val="00C823D0"/>
    <w:rsid w:val="00C82C27"/>
    <w:rsid w:val="00C831FC"/>
    <w:rsid w:val="00C836C8"/>
    <w:rsid w:val="00C8395C"/>
    <w:rsid w:val="00C83D50"/>
    <w:rsid w:val="00C84231"/>
    <w:rsid w:val="00C847C8"/>
    <w:rsid w:val="00C84D5A"/>
    <w:rsid w:val="00C85034"/>
    <w:rsid w:val="00C8534D"/>
    <w:rsid w:val="00C85F12"/>
    <w:rsid w:val="00C86379"/>
    <w:rsid w:val="00C864DB"/>
    <w:rsid w:val="00C8669B"/>
    <w:rsid w:val="00C86E0F"/>
    <w:rsid w:val="00C870BA"/>
    <w:rsid w:val="00C8781D"/>
    <w:rsid w:val="00C878E9"/>
    <w:rsid w:val="00C87AF9"/>
    <w:rsid w:val="00C901A9"/>
    <w:rsid w:val="00C9047A"/>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A45"/>
    <w:rsid w:val="00C94B58"/>
    <w:rsid w:val="00C94BBA"/>
    <w:rsid w:val="00C94DDB"/>
    <w:rsid w:val="00C94E45"/>
    <w:rsid w:val="00C952E6"/>
    <w:rsid w:val="00C95300"/>
    <w:rsid w:val="00C95548"/>
    <w:rsid w:val="00C95656"/>
    <w:rsid w:val="00C95730"/>
    <w:rsid w:val="00C95962"/>
    <w:rsid w:val="00C959AA"/>
    <w:rsid w:val="00C95EC0"/>
    <w:rsid w:val="00C963E1"/>
    <w:rsid w:val="00C965AD"/>
    <w:rsid w:val="00C96D37"/>
    <w:rsid w:val="00C96D71"/>
    <w:rsid w:val="00C96F89"/>
    <w:rsid w:val="00C96FE0"/>
    <w:rsid w:val="00C9755B"/>
    <w:rsid w:val="00C97572"/>
    <w:rsid w:val="00C9785E"/>
    <w:rsid w:val="00C979D5"/>
    <w:rsid w:val="00C97AF1"/>
    <w:rsid w:val="00C97D77"/>
    <w:rsid w:val="00CA00AC"/>
    <w:rsid w:val="00CA09AA"/>
    <w:rsid w:val="00CA0FCC"/>
    <w:rsid w:val="00CA114D"/>
    <w:rsid w:val="00CA1225"/>
    <w:rsid w:val="00CA18D2"/>
    <w:rsid w:val="00CA192B"/>
    <w:rsid w:val="00CA2604"/>
    <w:rsid w:val="00CA2906"/>
    <w:rsid w:val="00CA2919"/>
    <w:rsid w:val="00CA2C56"/>
    <w:rsid w:val="00CA33C0"/>
    <w:rsid w:val="00CA49C0"/>
    <w:rsid w:val="00CA4A24"/>
    <w:rsid w:val="00CA4A3F"/>
    <w:rsid w:val="00CA4C14"/>
    <w:rsid w:val="00CA4F58"/>
    <w:rsid w:val="00CA51A0"/>
    <w:rsid w:val="00CA54E1"/>
    <w:rsid w:val="00CA5DA3"/>
    <w:rsid w:val="00CA5E1D"/>
    <w:rsid w:val="00CA6164"/>
    <w:rsid w:val="00CA7EF0"/>
    <w:rsid w:val="00CB01BC"/>
    <w:rsid w:val="00CB03CF"/>
    <w:rsid w:val="00CB047F"/>
    <w:rsid w:val="00CB059A"/>
    <w:rsid w:val="00CB09D9"/>
    <w:rsid w:val="00CB11BD"/>
    <w:rsid w:val="00CB1368"/>
    <w:rsid w:val="00CB167F"/>
    <w:rsid w:val="00CB1A99"/>
    <w:rsid w:val="00CB1CA2"/>
    <w:rsid w:val="00CB1DFE"/>
    <w:rsid w:val="00CB1F2A"/>
    <w:rsid w:val="00CB2704"/>
    <w:rsid w:val="00CB299C"/>
    <w:rsid w:val="00CB2BBA"/>
    <w:rsid w:val="00CB35ED"/>
    <w:rsid w:val="00CB378D"/>
    <w:rsid w:val="00CB37C7"/>
    <w:rsid w:val="00CB39EB"/>
    <w:rsid w:val="00CB41E7"/>
    <w:rsid w:val="00CB480A"/>
    <w:rsid w:val="00CB4FA5"/>
    <w:rsid w:val="00CB5008"/>
    <w:rsid w:val="00CB58DD"/>
    <w:rsid w:val="00CB5F58"/>
    <w:rsid w:val="00CB6343"/>
    <w:rsid w:val="00CB6517"/>
    <w:rsid w:val="00CB6D4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2D3"/>
    <w:rsid w:val="00CC27F5"/>
    <w:rsid w:val="00CC2D18"/>
    <w:rsid w:val="00CC2EFE"/>
    <w:rsid w:val="00CC32B0"/>
    <w:rsid w:val="00CC3420"/>
    <w:rsid w:val="00CC3D8D"/>
    <w:rsid w:val="00CC3E8C"/>
    <w:rsid w:val="00CC400F"/>
    <w:rsid w:val="00CC4365"/>
    <w:rsid w:val="00CC4C5E"/>
    <w:rsid w:val="00CC4CD7"/>
    <w:rsid w:val="00CC4F58"/>
    <w:rsid w:val="00CC5565"/>
    <w:rsid w:val="00CC57AE"/>
    <w:rsid w:val="00CC5E58"/>
    <w:rsid w:val="00CC606C"/>
    <w:rsid w:val="00CC620F"/>
    <w:rsid w:val="00CC728B"/>
    <w:rsid w:val="00CC7356"/>
    <w:rsid w:val="00CC74D5"/>
    <w:rsid w:val="00CC7A6D"/>
    <w:rsid w:val="00CC7CD9"/>
    <w:rsid w:val="00CC7DF5"/>
    <w:rsid w:val="00CD0002"/>
    <w:rsid w:val="00CD04B6"/>
    <w:rsid w:val="00CD0740"/>
    <w:rsid w:val="00CD0768"/>
    <w:rsid w:val="00CD124B"/>
    <w:rsid w:val="00CD14CB"/>
    <w:rsid w:val="00CD179D"/>
    <w:rsid w:val="00CD17B7"/>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823"/>
    <w:rsid w:val="00CD6D63"/>
    <w:rsid w:val="00CD6E0B"/>
    <w:rsid w:val="00CD72C1"/>
    <w:rsid w:val="00CD787F"/>
    <w:rsid w:val="00CD7A86"/>
    <w:rsid w:val="00CD7BA8"/>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78"/>
    <w:rsid w:val="00CE38AA"/>
    <w:rsid w:val="00CE3CDC"/>
    <w:rsid w:val="00CE3D16"/>
    <w:rsid w:val="00CE3F31"/>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4E"/>
    <w:rsid w:val="00CE7392"/>
    <w:rsid w:val="00CE7603"/>
    <w:rsid w:val="00CE76BD"/>
    <w:rsid w:val="00CE781A"/>
    <w:rsid w:val="00CF02AC"/>
    <w:rsid w:val="00CF04FA"/>
    <w:rsid w:val="00CF057C"/>
    <w:rsid w:val="00CF06E6"/>
    <w:rsid w:val="00CF13E4"/>
    <w:rsid w:val="00CF14AC"/>
    <w:rsid w:val="00CF18AB"/>
    <w:rsid w:val="00CF1AA6"/>
    <w:rsid w:val="00CF1DDF"/>
    <w:rsid w:val="00CF20C8"/>
    <w:rsid w:val="00CF2639"/>
    <w:rsid w:val="00CF2BC3"/>
    <w:rsid w:val="00CF2EAE"/>
    <w:rsid w:val="00CF2EF5"/>
    <w:rsid w:val="00CF2FBF"/>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4A63"/>
    <w:rsid w:val="00D04FC8"/>
    <w:rsid w:val="00D050BA"/>
    <w:rsid w:val="00D05196"/>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07EA5"/>
    <w:rsid w:val="00D1023A"/>
    <w:rsid w:val="00D1121C"/>
    <w:rsid w:val="00D11243"/>
    <w:rsid w:val="00D11672"/>
    <w:rsid w:val="00D11873"/>
    <w:rsid w:val="00D11FAE"/>
    <w:rsid w:val="00D12371"/>
    <w:rsid w:val="00D12440"/>
    <w:rsid w:val="00D1249E"/>
    <w:rsid w:val="00D126E6"/>
    <w:rsid w:val="00D126F8"/>
    <w:rsid w:val="00D128F5"/>
    <w:rsid w:val="00D12B75"/>
    <w:rsid w:val="00D13440"/>
    <w:rsid w:val="00D13451"/>
    <w:rsid w:val="00D135C1"/>
    <w:rsid w:val="00D1376F"/>
    <w:rsid w:val="00D13820"/>
    <w:rsid w:val="00D13880"/>
    <w:rsid w:val="00D13BBC"/>
    <w:rsid w:val="00D13F9F"/>
    <w:rsid w:val="00D14204"/>
    <w:rsid w:val="00D1552A"/>
    <w:rsid w:val="00D15D9D"/>
    <w:rsid w:val="00D1624D"/>
    <w:rsid w:val="00D1655E"/>
    <w:rsid w:val="00D17869"/>
    <w:rsid w:val="00D1792B"/>
    <w:rsid w:val="00D17F37"/>
    <w:rsid w:val="00D202D3"/>
    <w:rsid w:val="00D20CCA"/>
    <w:rsid w:val="00D2171B"/>
    <w:rsid w:val="00D217CE"/>
    <w:rsid w:val="00D21A77"/>
    <w:rsid w:val="00D21EE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29CB"/>
    <w:rsid w:val="00D33313"/>
    <w:rsid w:val="00D333D5"/>
    <w:rsid w:val="00D333D7"/>
    <w:rsid w:val="00D33410"/>
    <w:rsid w:val="00D33418"/>
    <w:rsid w:val="00D33458"/>
    <w:rsid w:val="00D33AFC"/>
    <w:rsid w:val="00D33C0E"/>
    <w:rsid w:val="00D3410B"/>
    <w:rsid w:val="00D344C9"/>
    <w:rsid w:val="00D3568C"/>
    <w:rsid w:val="00D358B2"/>
    <w:rsid w:val="00D359BB"/>
    <w:rsid w:val="00D35C70"/>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A54"/>
    <w:rsid w:val="00D42B71"/>
    <w:rsid w:val="00D42CD1"/>
    <w:rsid w:val="00D42D5D"/>
    <w:rsid w:val="00D432BD"/>
    <w:rsid w:val="00D43888"/>
    <w:rsid w:val="00D4401E"/>
    <w:rsid w:val="00D4429F"/>
    <w:rsid w:val="00D44A5C"/>
    <w:rsid w:val="00D45983"/>
    <w:rsid w:val="00D45A16"/>
    <w:rsid w:val="00D45B68"/>
    <w:rsid w:val="00D466E5"/>
    <w:rsid w:val="00D467C7"/>
    <w:rsid w:val="00D4688E"/>
    <w:rsid w:val="00D46ADC"/>
    <w:rsid w:val="00D46EF6"/>
    <w:rsid w:val="00D46F2D"/>
    <w:rsid w:val="00D471EF"/>
    <w:rsid w:val="00D475CC"/>
    <w:rsid w:val="00D477E2"/>
    <w:rsid w:val="00D4785C"/>
    <w:rsid w:val="00D47A34"/>
    <w:rsid w:val="00D47EDA"/>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5B7"/>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3439"/>
    <w:rsid w:val="00D635DF"/>
    <w:rsid w:val="00D63BAD"/>
    <w:rsid w:val="00D6410E"/>
    <w:rsid w:val="00D6420A"/>
    <w:rsid w:val="00D6447E"/>
    <w:rsid w:val="00D645BF"/>
    <w:rsid w:val="00D647F9"/>
    <w:rsid w:val="00D6485C"/>
    <w:rsid w:val="00D64CB8"/>
    <w:rsid w:val="00D6520A"/>
    <w:rsid w:val="00D65404"/>
    <w:rsid w:val="00D6575A"/>
    <w:rsid w:val="00D65837"/>
    <w:rsid w:val="00D65A95"/>
    <w:rsid w:val="00D65DD6"/>
    <w:rsid w:val="00D66008"/>
    <w:rsid w:val="00D66022"/>
    <w:rsid w:val="00D66065"/>
    <w:rsid w:val="00D667E0"/>
    <w:rsid w:val="00D66B6D"/>
    <w:rsid w:val="00D66C66"/>
    <w:rsid w:val="00D66D47"/>
    <w:rsid w:val="00D66DAA"/>
    <w:rsid w:val="00D67241"/>
    <w:rsid w:val="00D6755B"/>
    <w:rsid w:val="00D67888"/>
    <w:rsid w:val="00D67D74"/>
    <w:rsid w:val="00D7010A"/>
    <w:rsid w:val="00D7040B"/>
    <w:rsid w:val="00D7066F"/>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E85"/>
    <w:rsid w:val="00D75F68"/>
    <w:rsid w:val="00D76283"/>
    <w:rsid w:val="00D762DF"/>
    <w:rsid w:val="00D7643F"/>
    <w:rsid w:val="00D76590"/>
    <w:rsid w:val="00D769F0"/>
    <w:rsid w:val="00D76E0D"/>
    <w:rsid w:val="00D76E83"/>
    <w:rsid w:val="00D771C9"/>
    <w:rsid w:val="00D800A1"/>
    <w:rsid w:val="00D8036A"/>
    <w:rsid w:val="00D80AB8"/>
    <w:rsid w:val="00D80C93"/>
    <w:rsid w:val="00D80CCB"/>
    <w:rsid w:val="00D81307"/>
    <w:rsid w:val="00D81465"/>
    <w:rsid w:val="00D817FD"/>
    <w:rsid w:val="00D81F9F"/>
    <w:rsid w:val="00D820F3"/>
    <w:rsid w:val="00D829AC"/>
    <w:rsid w:val="00D82AA1"/>
    <w:rsid w:val="00D83401"/>
    <w:rsid w:val="00D83850"/>
    <w:rsid w:val="00D84176"/>
    <w:rsid w:val="00D84268"/>
    <w:rsid w:val="00D84278"/>
    <w:rsid w:val="00D845B1"/>
    <w:rsid w:val="00D846C5"/>
    <w:rsid w:val="00D847C6"/>
    <w:rsid w:val="00D85341"/>
    <w:rsid w:val="00D858AB"/>
    <w:rsid w:val="00D86752"/>
    <w:rsid w:val="00D86ACF"/>
    <w:rsid w:val="00D86B37"/>
    <w:rsid w:val="00D86EF6"/>
    <w:rsid w:val="00D87154"/>
    <w:rsid w:val="00D8778A"/>
    <w:rsid w:val="00D8781B"/>
    <w:rsid w:val="00D90F81"/>
    <w:rsid w:val="00D91009"/>
    <w:rsid w:val="00D9120D"/>
    <w:rsid w:val="00D9126A"/>
    <w:rsid w:val="00D912DF"/>
    <w:rsid w:val="00D91408"/>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909"/>
    <w:rsid w:val="00D94BB0"/>
    <w:rsid w:val="00D94FF3"/>
    <w:rsid w:val="00D95322"/>
    <w:rsid w:val="00D955B0"/>
    <w:rsid w:val="00D957C0"/>
    <w:rsid w:val="00D959CE"/>
    <w:rsid w:val="00D95B27"/>
    <w:rsid w:val="00D95BC2"/>
    <w:rsid w:val="00D95BFF"/>
    <w:rsid w:val="00D95F45"/>
    <w:rsid w:val="00D96AD5"/>
    <w:rsid w:val="00D97663"/>
    <w:rsid w:val="00D9793D"/>
    <w:rsid w:val="00D97D08"/>
    <w:rsid w:val="00D97E86"/>
    <w:rsid w:val="00DA000D"/>
    <w:rsid w:val="00DA015E"/>
    <w:rsid w:val="00DA0293"/>
    <w:rsid w:val="00DA02EC"/>
    <w:rsid w:val="00DA0301"/>
    <w:rsid w:val="00DA0FC0"/>
    <w:rsid w:val="00DA10F6"/>
    <w:rsid w:val="00DA1D80"/>
    <w:rsid w:val="00DA2046"/>
    <w:rsid w:val="00DA2185"/>
    <w:rsid w:val="00DA23D2"/>
    <w:rsid w:val="00DA24FA"/>
    <w:rsid w:val="00DA29C4"/>
    <w:rsid w:val="00DA2AFA"/>
    <w:rsid w:val="00DA2D90"/>
    <w:rsid w:val="00DA3A26"/>
    <w:rsid w:val="00DA3B43"/>
    <w:rsid w:val="00DA3F00"/>
    <w:rsid w:val="00DA419D"/>
    <w:rsid w:val="00DA43CA"/>
    <w:rsid w:val="00DA4562"/>
    <w:rsid w:val="00DA492A"/>
    <w:rsid w:val="00DA49D8"/>
    <w:rsid w:val="00DA5CA9"/>
    <w:rsid w:val="00DA5E7E"/>
    <w:rsid w:val="00DA6564"/>
    <w:rsid w:val="00DA714A"/>
    <w:rsid w:val="00DA71AF"/>
    <w:rsid w:val="00DA727D"/>
    <w:rsid w:val="00DA7A85"/>
    <w:rsid w:val="00DA7BC0"/>
    <w:rsid w:val="00DA7BC7"/>
    <w:rsid w:val="00DA7E4C"/>
    <w:rsid w:val="00DA7EC1"/>
    <w:rsid w:val="00DB0564"/>
    <w:rsid w:val="00DB0D5D"/>
    <w:rsid w:val="00DB0DF3"/>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3D84"/>
    <w:rsid w:val="00DB42C3"/>
    <w:rsid w:val="00DB4322"/>
    <w:rsid w:val="00DB452C"/>
    <w:rsid w:val="00DB4F9D"/>
    <w:rsid w:val="00DB5389"/>
    <w:rsid w:val="00DB5913"/>
    <w:rsid w:val="00DB5A21"/>
    <w:rsid w:val="00DB5DEB"/>
    <w:rsid w:val="00DB5EE5"/>
    <w:rsid w:val="00DB6681"/>
    <w:rsid w:val="00DB6F47"/>
    <w:rsid w:val="00DB70B3"/>
    <w:rsid w:val="00DB749A"/>
    <w:rsid w:val="00DB7570"/>
    <w:rsid w:val="00DB7E8C"/>
    <w:rsid w:val="00DC0243"/>
    <w:rsid w:val="00DC0307"/>
    <w:rsid w:val="00DC0F93"/>
    <w:rsid w:val="00DC1384"/>
    <w:rsid w:val="00DC1479"/>
    <w:rsid w:val="00DC1624"/>
    <w:rsid w:val="00DC1763"/>
    <w:rsid w:val="00DC22B7"/>
    <w:rsid w:val="00DC2466"/>
    <w:rsid w:val="00DC257F"/>
    <w:rsid w:val="00DC2898"/>
    <w:rsid w:val="00DC28A6"/>
    <w:rsid w:val="00DC28EC"/>
    <w:rsid w:val="00DC3417"/>
    <w:rsid w:val="00DC3DE4"/>
    <w:rsid w:val="00DC4D82"/>
    <w:rsid w:val="00DC4D85"/>
    <w:rsid w:val="00DC5015"/>
    <w:rsid w:val="00DC522F"/>
    <w:rsid w:val="00DC588E"/>
    <w:rsid w:val="00DC5E7A"/>
    <w:rsid w:val="00DC6035"/>
    <w:rsid w:val="00DC6285"/>
    <w:rsid w:val="00DC65D8"/>
    <w:rsid w:val="00DC6689"/>
    <w:rsid w:val="00DC6870"/>
    <w:rsid w:val="00DC69C6"/>
    <w:rsid w:val="00DC6A94"/>
    <w:rsid w:val="00DC6E29"/>
    <w:rsid w:val="00DC6ECF"/>
    <w:rsid w:val="00DC757F"/>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70F"/>
    <w:rsid w:val="00DD3729"/>
    <w:rsid w:val="00DD3A5A"/>
    <w:rsid w:val="00DD4714"/>
    <w:rsid w:val="00DD49D3"/>
    <w:rsid w:val="00DD4BAD"/>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799"/>
    <w:rsid w:val="00DE2184"/>
    <w:rsid w:val="00DE21CF"/>
    <w:rsid w:val="00DE2243"/>
    <w:rsid w:val="00DE2335"/>
    <w:rsid w:val="00DE279F"/>
    <w:rsid w:val="00DE28F0"/>
    <w:rsid w:val="00DE2D4B"/>
    <w:rsid w:val="00DE2E1E"/>
    <w:rsid w:val="00DE2F6C"/>
    <w:rsid w:val="00DE3E7C"/>
    <w:rsid w:val="00DE3FD6"/>
    <w:rsid w:val="00DE44D6"/>
    <w:rsid w:val="00DE464E"/>
    <w:rsid w:val="00DE4664"/>
    <w:rsid w:val="00DE4811"/>
    <w:rsid w:val="00DE4B0C"/>
    <w:rsid w:val="00DE58DA"/>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9C8"/>
    <w:rsid w:val="00DF7BC3"/>
    <w:rsid w:val="00E00368"/>
    <w:rsid w:val="00E005F5"/>
    <w:rsid w:val="00E00A07"/>
    <w:rsid w:val="00E00A92"/>
    <w:rsid w:val="00E0125C"/>
    <w:rsid w:val="00E01395"/>
    <w:rsid w:val="00E019EA"/>
    <w:rsid w:val="00E01A5C"/>
    <w:rsid w:val="00E01FDA"/>
    <w:rsid w:val="00E0281D"/>
    <w:rsid w:val="00E028E6"/>
    <w:rsid w:val="00E02C20"/>
    <w:rsid w:val="00E0324B"/>
    <w:rsid w:val="00E0345F"/>
    <w:rsid w:val="00E035E4"/>
    <w:rsid w:val="00E03BEA"/>
    <w:rsid w:val="00E0401E"/>
    <w:rsid w:val="00E046C1"/>
    <w:rsid w:val="00E049EC"/>
    <w:rsid w:val="00E04BBE"/>
    <w:rsid w:val="00E04ED2"/>
    <w:rsid w:val="00E05A43"/>
    <w:rsid w:val="00E05FC4"/>
    <w:rsid w:val="00E0615B"/>
    <w:rsid w:val="00E06977"/>
    <w:rsid w:val="00E06AF4"/>
    <w:rsid w:val="00E07309"/>
    <w:rsid w:val="00E073C8"/>
    <w:rsid w:val="00E07686"/>
    <w:rsid w:val="00E07E45"/>
    <w:rsid w:val="00E1007C"/>
    <w:rsid w:val="00E101F9"/>
    <w:rsid w:val="00E102BD"/>
    <w:rsid w:val="00E1039D"/>
    <w:rsid w:val="00E103F8"/>
    <w:rsid w:val="00E10631"/>
    <w:rsid w:val="00E10C4C"/>
    <w:rsid w:val="00E10EFE"/>
    <w:rsid w:val="00E11223"/>
    <w:rsid w:val="00E11337"/>
    <w:rsid w:val="00E114AD"/>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50DB"/>
    <w:rsid w:val="00E25334"/>
    <w:rsid w:val="00E25962"/>
    <w:rsid w:val="00E25F1D"/>
    <w:rsid w:val="00E25F49"/>
    <w:rsid w:val="00E2617B"/>
    <w:rsid w:val="00E2690E"/>
    <w:rsid w:val="00E272FE"/>
    <w:rsid w:val="00E27871"/>
    <w:rsid w:val="00E27D55"/>
    <w:rsid w:val="00E30517"/>
    <w:rsid w:val="00E3066B"/>
    <w:rsid w:val="00E3070A"/>
    <w:rsid w:val="00E30A72"/>
    <w:rsid w:val="00E30ABF"/>
    <w:rsid w:val="00E30D78"/>
    <w:rsid w:val="00E30DB2"/>
    <w:rsid w:val="00E31506"/>
    <w:rsid w:val="00E31A4E"/>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12B6"/>
    <w:rsid w:val="00E417EA"/>
    <w:rsid w:val="00E41BAC"/>
    <w:rsid w:val="00E42532"/>
    <w:rsid w:val="00E4253D"/>
    <w:rsid w:val="00E42D71"/>
    <w:rsid w:val="00E432AE"/>
    <w:rsid w:val="00E434D2"/>
    <w:rsid w:val="00E4356E"/>
    <w:rsid w:val="00E43F1E"/>
    <w:rsid w:val="00E4466A"/>
    <w:rsid w:val="00E447D5"/>
    <w:rsid w:val="00E45041"/>
    <w:rsid w:val="00E450D8"/>
    <w:rsid w:val="00E452D0"/>
    <w:rsid w:val="00E45784"/>
    <w:rsid w:val="00E45A9D"/>
    <w:rsid w:val="00E460A1"/>
    <w:rsid w:val="00E462F1"/>
    <w:rsid w:val="00E463A2"/>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1F2B"/>
    <w:rsid w:val="00E523F3"/>
    <w:rsid w:val="00E52F76"/>
    <w:rsid w:val="00E5315C"/>
    <w:rsid w:val="00E534EA"/>
    <w:rsid w:val="00E538E0"/>
    <w:rsid w:val="00E541FA"/>
    <w:rsid w:val="00E547DF"/>
    <w:rsid w:val="00E54AE9"/>
    <w:rsid w:val="00E54D33"/>
    <w:rsid w:val="00E564C1"/>
    <w:rsid w:val="00E56D53"/>
    <w:rsid w:val="00E56D97"/>
    <w:rsid w:val="00E56E3C"/>
    <w:rsid w:val="00E56F3C"/>
    <w:rsid w:val="00E5711F"/>
    <w:rsid w:val="00E577B5"/>
    <w:rsid w:val="00E6000E"/>
    <w:rsid w:val="00E60050"/>
    <w:rsid w:val="00E6014B"/>
    <w:rsid w:val="00E602C9"/>
    <w:rsid w:val="00E606CB"/>
    <w:rsid w:val="00E608B7"/>
    <w:rsid w:val="00E608E1"/>
    <w:rsid w:val="00E60AE0"/>
    <w:rsid w:val="00E60E12"/>
    <w:rsid w:val="00E60F80"/>
    <w:rsid w:val="00E6134E"/>
    <w:rsid w:val="00E613CE"/>
    <w:rsid w:val="00E61B55"/>
    <w:rsid w:val="00E61DAC"/>
    <w:rsid w:val="00E61F86"/>
    <w:rsid w:val="00E62AF2"/>
    <w:rsid w:val="00E62C6B"/>
    <w:rsid w:val="00E630F7"/>
    <w:rsid w:val="00E639A3"/>
    <w:rsid w:val="00E643D0"/>
    <w:rsid w:val="00E64763"/>
    <w:rsid w:val="00E647DC"/>
    <w:rsid w:val="00E6484F"/>
    <w:rsid w:val="00E64B4F"/>
    <w:rsid w:val="00E65A35"/>
    <w:rsid w:val="00E65E6B"/>
    <w:rsid w:val="00E6640D"/>
    <w:rsid w:val="00E666A1"/>
    <w:rsid w:val="00E6670B"/>
    <w:rsid w:val="00E6682F"/>
    <w:rsid w:val="00E67394"/>
    <w:rsid w:val="00E67631"/>
    <w:rsid w:val="00E67C33"/>
    <w:rsid w:val="00E67D40"/>
    <w:rsid w:val="00E7002F"/>
    <w:rsid w:val="00E7041A"/>
    <w:rsid w:val="00E705E5"/>
    <w:rsid w:val="00E70B0C"/>
    <w:rsid w:val="00E71158"/>
    <w:rsid w:val="00E71952"/>
    <w:rsid w:val="00E719E4"/>
    <w:rsid w:val="00E71DF1"/>
    <w:rsid w:val="00E71EDB"/>
    <w:rsid w:val="00E71F17"/>
    <w:rsid w:val="00E723D3"/>
    <w:rsid w:val="00E7242A"/>
    <w:rsid w:val="00E72771"/>
    <w:rsid w:val="00E72ABE"/>
    <w:rsid w:val="00E72BCC"/>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10EC"/>
    <w:rsid w:val="00E8112C"/>
    <w:rsid w:val="00E81587"/>
    <w:rsid w:val="00E81645"/>
    <w:rsid w:val="00E82336"/>
    <w:rsid w:val="00E826C8"/>
    <w:rsid w:val="00E82819"/>
    <w:rsid w:val="00E82EE0"/>
    <w:rsid w:val="00E8323D"/>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ED"/>
    <w:rsid w:val="00E85E7A"/>
    <w:rsid w:val="00E86057"/>
    <w:rsid w:val="00E861F7"/>
    <w:rsid w:val="00E86647"/>
    <w:rsid w:val="00E86BF7"/>
    <w:rsid w:val="00E87096"/>
    <w:rsid w:val="00E87182"/>
    <w:rsid w:val="00E879F0"/>
    <w:rsid w:val="00E87AE6"/>
    <w:rsid w:val="00E87BC7"/>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901"/>
    <w:rsid w:val="00EA1B4A"/>
    <w:rsid w:val="00EA1CC1"/>
    <w:rsid w:val="00EA2271"/>
    <w:rsid w:val="00EA2324"/>
    <w:rsid w:val="00EA2585"/>
    <w:rsid w:val="00EA2730"/>
    <w:rsid w:val="00EA2C3C"/>
    <w:rsid w:val="00EA3002"/>
    <w:rsid w:val="00EA3641"/>
    <w:rsid w:val="00EA3D67"/>
    <w:rsid w:val="00EA3DB9"/>
    <w:rsid w:val="00EA430C"/>
    <w:rsid w:val="00EA475F"/>
    <w:rsid w:val="00EA4A36"/>
    <w:rsid w:val="00EA5029"/>
    <w:rsid w:val="00EA5335"/>
    <w:rsid w:val="00EA5372"/>
    <w:rsid w:val="00EA626F"/>
    <w:rsid w:val="00EA630B"/>
    <w:rsid w:val="00EA6D78"/>
    <w:rsid w:val="00EA6E29"/>
    <w:rsid w:val="00EA7721"/>
    <w:rsid w:val="00EA7B1C"/>
    <w:rsid w:val="00EA7CE6"/>
    <w:rsid w:val="00EA7E15"/>
    <w:rsid w:val="00EA7E9E"/>
    <w:rsid w:val="00EA7EF5"/>
    <w:rsid w:val="00EA7F1F"/>
    <w:rsid w:val="00EB05DC"/>
    <w:rsid w:val="00EB0650"/>
    <w:rsid w:val="00EB0CBA"/>
    <w:rsid w:val="00EB1304"/>
    <w:rsid w:val="00EB1705"/>
    <w:rsid w:val="00EB2023"/>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83D"/>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5F2B"/>
    <w:rsid w:val="00EC60A1"/>
    <w:rsid w:val="00EC614D"/>
    <w:rsid w:val="00EC6337"/>
    <w:rsid w:val="00EC6588"/>
    <w:rsid w:val="00EC6D68"/>
    <w:rsid w:val="00EC6D82"/>
    <w:rsid w:val="00EC7183"/>
    <w:rsid w:val="00EC71AB"/>
    <w:rsid w:val="00EC73D5"/>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C56"/>
    <w:rsid w:val="00ED3DA3"/>
    <w:rsid w:val="00ED40CC"/>
    <w:rsid w:val="00ED4834"/>
    <w:rsid w:val="00ED4DAA"/>
    <w:rsid w:val="00ED4DDF"/>
    <w:rsid w:val="00ED4EEA"/>
    <w:rsid w:val="00ED5122"/>
    <w:rsid w:val="00ED5300"/>
    <w:rsid w:val="00ED54F7"/>
    <w:rsid w:val="00ED58F2"/>
    <w:rsid w:val="00ED5A06"/>
    <w:rsid w:val="00ED6100"/>
    <w:rsid w:val="00ED6E4E"/>
    <w:rsid w:val="00ED6FAC"/>
    <w:rsid w:val="00ED7BAF"/>
    <w:rsid w:val="00EE0318"/>
    <w:rsid w:val="00EE04FF"/>
    <w:rsid w:val="00EE081D"/>
    <w:rsid w:val="00EE08BC"/>
    <w:rsid w:val="00EE0935"/>
    <w:rsid w:val="00EE09EA"/>
    <w:rsid w:val="00EE0A49"/>
    <w:rsid w:val="00EE0CA1"/>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2DA7"/>
    <w:rsid w:val="00EF3A28"/>
    <w:rsid w:val="00EF3A3D"/>
    <w:rsid w:val="00EF3A4A"/>
    <w:rsid w:val="00EF3D41"/>
    <w:rsid w:val="00EF3D43"/>
    <w:rsid w:val="00EF3EE0"/>
    <w:rsid w:val="00EF4476"/>
    <w:rsid w:val="00EF493B"/>
    <w:rsid w:val="00EF49E0"/>
    <w:rsid w:val="00EF4E9F"/>
    <w:rsid w:val="00EF4F32"/>
    <w:rsid w:val="00EF5326"/>
    <w:rsid w:val="00EF5747"/>
    <w:rsid w:val="00EF57F7"/>
    <w:rsid w:val="00EF5861"/>
    <w:rsid w:val="00EF61C2"/>
    <w:rsid w:val="00EF6EF5"/>
    <w:rsid w:val="00EF6F6C"/>
    <w:rsid w:val="00EF71EE"/>
    <w:rsid w:val="00EF76E2"/>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3EDF"/>
    <w:rsid w:val="00F046FD"/>
    <w:rsid w:val="00F04D51"/>
    <w:rsid w:val="00F058E3"/>
    <w:rsid w:val="00F05EED"/>
    <w:rsid w:val="00F05F00"/>
    <w:rsid w:val="00F06198"/>
    <w:rsid w:val="00F06F02"/>
    <w:rsid w:val="00F0789F"/>
    <w:rsid w:val="00F07CD5"/>
    <w:rsid w:val="00F10437"/>
    <w:rsid w:val="00F10465"/>
    <w:rsid w:val="00F10864"/>
    <w:rsid w:val="00F10BB6"/>
    <w:rsid w:val="00F1135C"/>
    <w:rsid w:val="00F1165E"/>
    <w:rsid w:val="00F11CF5"/>
    <w:rsid w:val="00F12056"/>
    <w:rsid w:val="00F1281A"/>
    <w:rsid w:val="00F12B3D"/>
    <w:rsid w:val="00F13242"/>
    <w:rsid w:val="00F13555"/>
    <w:rsid w:val="00F1403E"/>
    <w:rsid w:val="00F140FE"/>
    <w:rsid w:val="00F1415B"/>
    <w:rsid w:val="00F14271"/>
    <w:rsid w:val="00F14605"/>
    <w:rsid w:val="00F14FB4"/>
    <w:rsid w:val="00F15B34"/>
    <w:rsid w:val="00F15C93"/>
    <w:rsid w:val="00F1604E"/>
    <w:rsid w:val="00F165FF"/>
    <w:rsid w:val="00F16BB1"/>
    <w:rsid w:val="00F175B3"/>
    <w:rsid w:val="00F17A8F"/>
    <w:rsid w:val="00F17D56"/>
    <w:rsid w:val="00F20046"/>
    <w:rsid w:val="00F20242"/>
    <w:rsid w:val="00F206FE"/>
    <w:rsid w:val="00F20998"/>
    <w:rsid w:val="00F20C7C"/>
    <w:rsid w:val="00F20D66"/>
    <w:rsid w:val="00F20EF1"/>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378"/>
    <w:rsid w:val="00F2357F"/>
    <w:rsid w:val="00F23933"/>
    <w:rsid w:val="00F23BD0"/>
    <w:rsid w:val="00F23D7A"/>
    <w:rsid w:val="00F23FCA"/>
    <w:rsid w:val="00F2456B"/>
    <w:rsid w:val="00F24A57"/>
    <w:rsid w:val="00F24D96"/>
    <w:rsid w:val="00F24E4C"/>
    <w:rsid w:val="00F24F4D"/>
    <w:rsid w:val="00F24FA0"/>
    <w:rsid w:val="00F25157"/>
    <w:rsid w:val="00F25EB4"/>
    <w:rsid w:val="00F25F62"/>
    <w:rsid w:val="00F2617C"/>
    <w:rsid w:val="00F2643A"/>
    <w:rsid w:val="00F266A1"/>
    <w:rsid w:val="00F2683F"/>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6F2"/>
    <w:rsid w:val="00F3383E"/>
    <w:rsid w:val="00F34286"/>
    <w:rsid w:val="00F342E5"/>
    <w:rsid w:val="00F34483"/>
    <w:rsid w:val="00F346BC"/>
    <w:rsid w:val="00F3521B"/>
    <w:rsid w:val="00F354AF"/>
    <w:rsid w:val="00F35561"/>
    <w:rsid w:val="00F35865"/>
    <w:rsid w:val="00F35E92"/>
    <w:rsid w:val="00F3607C"/>
    <w:rsid w:val="00F360BA"/>
    <w:rsid w:val="00F36640"/>
    <w:rsid w:val="00F366CE"/>
    <w:rsid w:val="00F369FF"/>
    <w:rsid w:val="00F36BF8"/>
    <w:rsid w:val="00F371FB"/>
    <w:rsid w:val="00F372E5"/>
    <w:rsid w:val="00F377A2"/>
    <w:rsid w:val="00F378E2"/>
    <w:rsid w:val="00F37922"/>
    <w:rsid w:val="00F37AEF"/>
    <w:rsid w:val="00F37BD8"/>
    <w:rsid w:val="00F37DC6"/>
    <w:rsid w:val="00F405C7"/>
    <w:rsid w:val="00F419D1"/>
    <w:rsid w:val="00F41D1F"/>
    <w:rsid w:val="00F42910"/>
    <w:rsid w:val="00F42C2B"/>
    <w:rsid w:val="00F43A8E"/>
    <w:rsid w:val="00F4416D"/>
    <w:rsid w:val="00F44833"/>
    <w:rsid w:val="00F45534"/>
    <w:rsid w:val="00F458F5"/>
    <w:rsid w:val="00F45B82"/>
    <w:rsid w:val="00F465D0"/>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0298"/>
    <w:rsid w:val="00F7063E"/>
    <w:rsid w:val="00F71026"/>
    <w:rsid w:val="00F71042"/>
    <w:rsid w:val="00F710A0"/>
    <w:rsid w:val="00F710D9"/>
    <w:rsid w:val="00F71656"/>
    <w:rsid w:val="00F71893"/>
    <w:rsid w:val="00F71976"/>
    <w:rsid w:val="00F71DC2"/>
    <w:rsid w:val="00F71F79"/>
    <w:rsid w:val="00F720EE"/>
    <w:rsid w:val="00F721A1"/>
    <w:rsid w:val="00F724E3"/>
    <w:rsid w:val="00F727AA"/>
    <w:rsid w:val="00F729F2"/>
    <w:rsid w:val="00F72C94"/>
    <w:rsid w:val="00F73F43"/>
    <w:rsid w:val="00F7464A"/>
    <w:rsid w:val="00F74664"/>
    <w:rsid w:val="00F74791"/>
    <w:rsid w:val="00F747FD"/>
    <w:rsid w:val="00F74A7A"/>
    <w:rsid w:val="00F757F9"/>
    <w:rsid w:val="00F7596A"/>
    <w:rsid w:val="00F75C0B"/>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40FD"/>
    <w:rsid w:val="00F849D7"/>
    <w:rsid w:val="00F84A2F"/>
    <w:rsid w:val="00F84BAB"/>
    <w:rsid w:val="00F84D93"/>
    <w:rsid w:val="00F850EB"/>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604E"/>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B0"/>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C7"/>
    <w:rsid w:val="00FA7081"/>
    <w:rsid w:val="00FA73D9"/>
    <w:rsid w:val="00FA7936"/>
    <w:rsid w:val="00FA7A20"/>
    <w:rsid w:val="00FA7AA6"/>
    <w:rsid w:val="00FA7B58"/>
    <w:rsid w:val="00FA7C04"/>
    <w:rsid w:val="00FB0443"/>
    <w:rsid w:val="00FB0540"/>
    <w:rsid w:val="00FB15D5"/>
    <w:rsid w:val="00FB18E8"/>
    <w:rsid w:val="00FB19D8"/>
    <w:rsid w:val="00FB1F61"/>
    <w:rsid w:val="00FB22E5"/>
    <w:rsid w:val="00FB2663"/>
    <w:rsid w:val="00FB2864"/>
    <w:rsid w:val="00FB2F94"/>
    <w:rsid w:val="00FB313A"/>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AA0"/>
    <w:rsid w:val="00FC0AB4"/>
    <w:rsid w:val="00FC0B11"/>
    <w:rsid w:val="00FC0B9B"/>
    <w:rsid w:val="00FC0E12"/>
    <w:rsid w:val="00FC1190"/>
    <w:rsid w:val="00FC1859"/>
    <w:rsid w:val="00FC1AB5"/>
    <w:rsid w:val="00FC20A2"/>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58B2"/>
    <w:rsid w:val="00FC65A0"/>
    <w:rsid w:val="00FC6B41"/>
    <w:rsid w:val="00FC6D8C"/>
    <w:rsid w:val="00FC791E"/>
    <w:rsid w:val="00FC7F93"/>
    <w:rsid w:val="00FD06C1"/>
    <w:rsid w:val="00FD10D2"/>
    <w:rsid w:val="00FD116E"/>
    <w:rsid w:val="00FD1407"/>
    <w:rsid w:val="00FD1643"/>
    <w:rsid w:val="00FD235B"/>
    <w:rsid w:val="00FD2804"/>
    <w:rsid w:val="00FD282A"/>
    <w:rsid w:val="00FD2A71"/>
    <w:rsid w:val="00FD2BDC"/>
    <w:rsid w:val="00FD3124"/>
    <w:rsid w:val="00FD36CF"/>
    <w:rsid w:val="00FD3905"/>
    <w:rsid w:val="00FD3AE8"/>
    <w:rsid w:val="00FD4005"/>
    <w:rsid w:val="00FD4272"/>
    <w:rsid w:val="00FD4342"/>
    <w:rsid w:val="00FD45BB"/>
    <w:rsid w:val="00FD4CC0"/>
    <w:rsid w:val="00FD4FEB"/>
    <w:rsid w:val="00FD526F"/>
    <w:rsid w:val="00FD5999"/>
    <w:rsid w:val="00FD6318"/>
    <w:rsid w:val="00FD6A3D"/>
    <w:rsid w:val="00FD6F9D"/>
    <w:rsid w:val="00FD72D9"/>
    <w:rsid w:val="00FD73AE"/>
    <w:rsid w:val="00FD7D6B"/>
    <w:rsid w:val="00FE00DC"/>
    <w:rsid w:val="00FE03B5"/>
    <w:rsid w:val="00FE0477"/>
    <w:rsid w:val="00FE0657"/>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679"/>
    <w:rsid w:val="00FF0895"/>
    <w:rsid w:val="00FF0BBB"/>
    <w:rsid w:val="00FF1455"/>
    <w:rsid w:val="00FF1716"/>
    <w:rsid w:val="00FF1920"/>
    <w:rsid w:val="00FF1ACF"/>
    <w:rsid w:val="00FF202C"/>
    <w:rsid w:val="00FF23D4"/>
    <w:rsid w:val="00FF2A88"/>
    <w:rsid w:val="00FF2F30"/>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uiPriority w:val="99"/>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HR33RHYHUWRF-4-9434</_dlc_DocId>
    <_dlc_DocIdUrl xmlns="c06861ca-3f08-4d07-bff7-bb15bac121f4">
      <Url>https://projects.qualcomm.com/sites/pentari/_layouts/15/DocIdRedir.aspx?ID=HR33RHYHUWRF-4-9434</Url>
      <Description>HR33RHYHUWRF-4-9434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2.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4.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C96A66-436A-495B-983F-537566FEB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9</TotalTime>
  <Pages>5</Pages>
  <Words>1874</Words>
  <Characters>10685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TSG-RAN WG1 #92Bis</vt:lpstr>
    </vt:vector>
  </TitlesOfParts>
  <Company>Qualcomm Inc.</Company>
  <LinksUpToDate>false</LinksUpToDate>
  <CharactersWithSpaces>12534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
  <dc:description/>
  <cp:lastModifiedBy>Peter Gaal</cp:lastModifiedBy>
  <cp:revision>10</cp:revision>
  <cp:lastPrinted>2014-11-07T05:38:00Z</cp:lastPrinted>
  <dcterms:created xsi:type="dcterms:W3CDTF">2019-02-16T04:59:00Z</dcterms:created>
  <dcterms:modified xsi:type="dcterms:W3CDTF">2019-02-16T06:07:00Z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c4ef362c-63b5-4f02-b0b7-e4255ac476f4</vt:lpwstr>
  </property>
  <property fmtid="{D5CDD505-2E9C-101B-9397-08002B2CF9AE}" pid="3" name="ContentTypeId">
    <vt:lpwstr>0x010100BC29BFD66497B943AA3B102F0C7B1355</vt:lpwstr>
  </property>
  <property fmtid="{D5CDD505-2E9C-101B-9397-08002B2CF9AE}" pid="4" name="_NewReviewCycle">
    <vt:lpwstr/>
  </property>
  <property fmtid="{D5CDD505-2E9C-101B-9397-08002B2CF9AE}" pid="5" name="_AdHocReviewCycleID">
    <vt:i4>-777978497</vt:i4>
  </property>
  <property fmtid="{D5CDD505-2E9C-101B-9397-08002B2CF9AE}" pid="6" name="_EmailSubject">
    <vt:lpwstr>[change subj] 5g.ran1 and SP for NR ran1</vt:lpwstr>
  </property>
  <property fmtid="{D5CDD505-2E9C-101B-9397-08002B2CF9AE}" pid="7" name="_AuthorEmail">
    <vt:lpwstr>mostafak@qti.qualcomm.com</vt:lpwstr>
  </property>
  <property fmtid="{D5CDD505-2E9C-101B-9397-08002B2CF9AE}" pid="8" name="_AuthorEmailDisplayName">
    <vt:lpwstr>Mostafa Khoshnevisan</vt:lpwstr>
  </property>
  <property fmtid="{D5CDD505-2E9C-101B-9397-08002B2CF9AE}" pid="9" name="_ReviewingToolsShownOnce">
    <vt:lpwstr/>
  </property>
</Properties>
</file>